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DOTCOM: The Disability Online Tool of the Commission</w:t>
      </w:r>
      <w:bookmarkEnd w:id="1"/>
    </w:p>
    <w:p>
      <w:pPr>
        <w:pStyle w:val="Heading2"/>
      </w:pPr>
      <w:bookmarkStart w:id="2" w:name="_Toc2"/>
      <w:r>
        <w:t>Malta</w:t>
      </w:r>
      <w:bookmarkEnd w:id="2"/>
    </w:p>
    <w:p>
      <w:pPr>
        <w:pStyle w:val="Heading3"/>
      </w:pPr>
      <w:bookmarkStart w:id="3" w:name="_Toc3"/>
      <w:r>
        <w:t>A. UN Convention status</w:t>
      </w:r>
      <w:bookmarkEnd w:id="3"/>
    </w:p>
    <w:p>
      <w:pPr>
        <w:pStyle w:val="Heading4"/>
      </w:pPr>
      <w:bookmarkStart w:id="4" w:name="_Toc4"/>
      <w:r>
        <w:t>A1. Ratification or conclusion of the UN Convention</w:t>
      </w:r>
      <w:bookmarkEnd w:id="4"/>
    </w:p>
    <w:p>
      <w:pPr/>
    </w:p>
    <w:p>
      <w:pPr>
        <w:spacing w:before="120" w:after="240"/>
      </w:pPr>
      <w:r>
        <w:rPr>
          <w:rFonts w:ascii="Arial" w:hAnsi="Arial" w:eastAsia="Arial" w:cs="Arial"/>
          <w:color w:val="#000000"/>
          <w:sz w:val="22"/>
          <w:szCs w:val="22"/>
        </w:rPr>
        <w:t xml:space="preserve">Malta signed the UN Convention on 30 March 2007 and ratified it on 10 October 2012. It came into effect on 9 November 2012.</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Commission for the Rights of Persons with Disability (signature and ratification of the UNCRPD by Malta)</w:t>
      </w:r>
      <w:br/>
      <w:hyperlink r:id="rId7" w:history="1">
        <w:r>
          <w:rPr>
            <w:rStyle w:val="Link"/>
          </w:rPr>
          <w:t xml:space="preserve">http://crpd.org.mt/un-convention/</w:t>
        </w:r>
      </w:hyperlink>
      <w:br/>
    </w:p>
    <w:p>
      <w:pPr>
        <w:pStyle w:val="Heading4"/>
      </w:pPr>
      <w:bookmarkStart w:id="5" w:name="_Toc5"/>
      <w:r>
        <w:t>A2. Ratification or accession to the Optional Protocol</w:t>
      </w:r>
      <w:bookmarkEnd w:id="5"/>
    </w:p>
    <w:p>
      <w:pPr/>
    </w:p>
    <w:p>
      <w:pPr>
        <w:spacing w:before="120" w:after="240"/>
      </w:pPr>
      <w:r>
        <w:rPr>
          <w:rFonts w:ascii="Arial" w:hAnsi="Arial" w:eastAsia="Arial" w:cs="Arial"/>
          <w:color w:val="#000000"/>
          <w:sz w:val="22"/>
          <w:szCs w:val="22"/>
        </w:rPr>
        <w:t xml:space="preserve">Malta signed the optional protocol on 30 March 2007 and ratified it on 10 October 2012. It came into effect on 9 November 2012.</w:t>
      </w:r>
    </w:p>
    <w:p>
      <w:pPr>
        <w:pStyle w:val="Heading4"/>
      </w:pPr>
      <w:bookmarkStart w:id="6" w:name="_Toc6"/>
      <w:r>
        <w:t>A3. Declarations, Reservations and Objections</w:t>
      </w:r>
      <w:bookmarkEnd w:id="6"/>
    </w:p>
    <w:p>
      <w:pPr/>
    </w:p>
    <w:p>
      <w:pPr>
        <w:spacing w:before="120" w:after="240"/>
      </w:pPr>
      <w:r>
        <w:rPr>
          <w:rFonts w:ascii="Arial" w:hAnsi="Arial" w:eastAsia="Arial" w:cs="Arial"/>
          <w:color w:val="#000000"/>
          <w:sz w:val="22"/>
          <w:szCs w:val="22"/>
        </w:rPr>
        <w:t xml:space="preserve">Malta made an interpretative statement and a reservation upon signing the UN Convention as follows: 
</w:t>
      </w:r>
    </w:p>
    <w:p>
      <w:pPr>
        <w:spacing w:before="120" w:after="240"/>
      </w:pPr>
      <w:r>
        <w:rPr>
          <w:rFonts w:ascii="Arial" w:hAnsi="Arial" w:eastAsia="Arial" w:cs="Arial"/>
          <w:color w:val="#000000"/>
          <w:sz w:val="22"/>
          <w:szCs w:val="22"/>
        </w:rPr>
        <w:t xml:space="preserve">Interpretative Statement: "Malta understands that the phrase 'sexual and reproductive health' in Article 25 (a) of the Convention does not constitute recognition of any new international law obligation, does not create any abortion rights, and cannot be interpreted to constitute support, endorsement, or promotion of abortion. Malta further understands that the use of this phrase is intended exclusively to underline the point that where health services are provided, they are provided without discrimination on the basis of disability. Malta's national legislation, considers the termination of pregnancy through induced abortion as illegal". 
</w:t>
      </w:r>
    </w:p>
    <w:p>
      <w:pPr>
        <w:spacing w:before="120" w:after="240"/>
      </w:pPr>
      <w:r>
        <w:rPr>
          <w:rFonts w:ascii="Arial" w:hAnsi="Arial" w:eastAsia="Arial" w:cs="Arial"/>
          <w:color w:val="#000000"/>
          <w:sz w:val="22"/>
          <w:szCs w:val="22"/>
        </w:rPr>
        <w:t xml:space="preserve">Reservations: "Pursuant to Article 29a (i) and (iii) of the Convention, while the Government of Malta is fully committed to ensure the effective and full participation of persons with disabilities in political and public life, including the exercise of their right to vote by secret ballot in elections and referenda, and to stand for elections, Malta makes the following reservations: With regard to (a) (i): At this stage, Malta reserves the right to continue to apply its current electoral legislation in so far as voting procedures, facilities and materials are concerned. With regard to (a) (iii): Malta reserves the right to continue to apply its current electoral legislation in so far as assistance in voting procedures is concerned." 
</w:t>
      </w:r>
    </w:p>
    <w:p>
      <w:pPr>
        <w:spacing w:before="120" w:after="240"/>
      </w:pPr>
      <w:r>
        <w:rPr>
          <w:rFonts w:ascii="Arial" w:hAnsi="Arial" w:eastAsia="Arial" w:cs="Arial"/>
          <w:color w:val="#000000"/>
          <w:sz w:val="22"/>
          <w:szCs w:val="22"/>
        </w:rPr>
        <w:t xml:space="preserve">In a press release issued on 30 March 2007, the day when the Convention was signed, the Maltese Government expressed the wish that the reservation on Article 29 is lifted by ratification. However, the reserve is currently still in place.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United Nations Treaty Collection</w:t>
      </w:r>
      <w:br/>
      <w:hyperlink r:id="rId8" w:history="1">
        <w:r>
          <w:rPr>
            <w:rStyle w:val="Link"/>
          </w:rPr>
          <w:t xml:space="preserve">https://treaties.un.org/Pages/ViewDetails.aspx?src=TREATY&amp;mtdsg_no=IV-15&amp;chapter=4&amp;lang=_en&amp;clang=_en#EndDec</w:t>
        </w:r>
      </w:hyperlink>
      <w:br/>
      <w:r>
        <w:rPr>
          <w:rFonts w:ascii="Arial" w:hAnsi="Arial" w:eastAsia="Arial" w:cs="Arial"/>
          <w:color w:val="#000000"/>
          <w:sz w:val="22"/>
          <w:szCs w:val="22"/>
        </w:rPr>
        <w:t xml:space="preserve">Press Release (in Maltese)</w:t>
      </w:r>
      <w:br/>
      <w:hyperlink r:id="rId9" w:history="1">
        <w:r>
          <w:rPr>
            <w:rStyle w:val="Link"/>
          </w:rPr>
          <w:t xml:space="preserve">https://www.gov.mt/en/Government/DOI/Press%20Releases/Pages/2007/03/30/PR0469.aspx</w:t>
        </w:r>
      </w:hyperlink>
      <w:br/>
    </w:p>
    <w:p>
      <w:pPr>
        <w:pStyle w:val="Heading4"/>
      </w:pPr>
      <w:bookmarkStart w:id="7" w:name="_Toc7"/>
      <w:r>
        <w:t>A4. Comprehensive review</w:t>
      </w:r>
      <w:bookmarkEnd w:id="7"/>
    </w:p>
    <w:p>
      <w:pPr/>
    </w:p>
    <w:p>
      <w:pPr>
        <w:spacing w:before="120" w:after="240"/>
      </w:pPr>
      <w:r>
        <w:rPr>
          <w:rFonts w:ascii="Arial" w:hAnsi="Arial" w:eastAsia="Arial" w:cs="Arial"/>
          <w:color w:val="#000000"/>
          <w:sz w:val="22"/>
          <w:szCs w:val="22"/>
        </w:rPr>
        <w:t xml:space="preserve">The Maltese government set up an inter-ministerial committee following the signing of the UN Convention to examine existing policy and legislation and to make the necessary changes for such policy and legislation to be in line with the UN Convention. This Committee made a comprehensive review of Maltese legislation. The amendments to Maltese legislation that were enacted through the Various Laws (Disability Matters) (Amendment) Act, 2012 were based on the amendments proposed by this Committee.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Various Laws (Disability Matters) (Amendment) Act - </w:t>
      </w:r>
      <w:br/>
      <w:hyperlink r:id="rId10" w:history="1">
        <w:r>
          <w:rPr>
            <w:rStyle w:val="Link"/>
          </w:rPr>
          <w:t xml:space="preserve">http://www.justiceservices.gov.mt/DownloadDocument.aspx?app=lp&amp;itemid=23032&amp;l=1</w:t>
        </w:r>
      </w:hyperlink>
      <w:br/>
    </w:p>
    <w:p>
      <w:pPr>
        <w:pStyle w:val="Heading4"/>
      </w:pPr>
      <w:bookmarkStart w:id="8" w:name="_Toc8"/>
      <w:r>
        <w:t>A5. Focal point</w:t>
      </w:r>
      <w:bookmarkEnd w:id="8"/>
    </w:p>
    <w:p>
      <w:pPr/>
    </w:p>
    <w:p>
      <w:pPr>
        <w:spacing w:before="120" w:after="240"/>
      </w:pPr>
      <w:r>
        <w:rPr>
          <w:rFonts w:ascii="Arial" w:hAnsi="Arial" w:eastAsia="Arial" w:cs="Arial"/>
          <w:color w:val="#000000"/>
          <w:sz w:val="22"/>
          <w:szCs w:val="22"/>
        </w:rPr>
        <w:t xml:space="preserve">The focal point for the UN Convention is within the Parliamentary Secretariat for the Rights of Persons with Disability and Active Ageing which is part of the Ministry for the Family and Social Solidarity.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Focal Point</w:t>
      </w:r>
      <w:br/>
      <w:hyperlink r:id="rId11" w:history="1">
        <w:r>
          <w:rPr>
            <w:rStyle w:val="Link"/>
          </w:rPr>
          <w:t xml:space="preserve">https://activeageing.gov.mt/en/Pages/Focal-Point-Malta.aspx</w:t>
        </w:r>
      </w:hyperlink>
      <w:br/>
    </w:p>
    <w:p>
      <w:pPr>
        <w:pStyle w:val="Heading4"/>
      </w:pPr>
      <w:bookmarkStart w:id="9" w:name="_Toc9"/>
      <w:r>
        <w:t>A6. Coordination mechanism</w:t>
      </w:r>
      <w:bookmarkEnd w:id="9"/>
    </w:p>
    <w:p>
      <w:pPr/>
    </w:p>
    <w:p>
      <w:pPr>
        <w:spacing w:before="120" w:after="240"/>
      </w:pPr>
      <w:r>
        <w:rPr>
          <w:rFonts w:ascii="Arial" w:hAnsi="Arial" w:eastAsia="Arial" w:cs="Arial"/>
          <w:color w:val="#000000"/>
          <w:sz w:val="22"/>
          <w:szCs w:val="22"/>
        </w:rPr>
        <w:t xml:space="preserve">The focal point within the Parliamentary Secretariat for the Rights of Persons with Disability and Active Ageing is also the coordination mechanism.</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Focal point</w:t>
      </w:r>
      <w:br/>
      <w:hyperlink r:id="rId11" w:history="1">
        <w:r>
          <w:rPr>
            <w:rStyle w:val="Link"/>
          </w:rPr>
          <w:t xml:space="preserve">https://activeageing.gov.mt/en/Pages/Focal-Point-Malta.aspx</w:t>
        </w:r>
      </w:hyperlink>
      <w:br/>
    </w:p>
    <w:p>
      <w:pPr>
        <w:pStyle w:val="Heading4"/>
      </w:pPr>
      <w:bookmarkStart w:id="10" w:name="_Toc10"/>
      <w:r>
        <w:t>A7. Independent mechanism</w:t>
      </w:r>
      <w:bookmarkEnd w:id="10"/>
    </w:p>
    <w:p>
      <w:pPr/>
    </w:p>
    <w:p>
      <w:pPr>
        <w:spacing w:before="120" w:after="240"/>
      </w:pPr>
      <w:r>
        <w:rPr>
          <w:rFonts w:ascii="Arial" w:hAnsi="Arial" w:eastAsia="Arial" w:cs="Arial"/>
          <w:color w:val="#000000"/>
          <w:sz w:val="22"/>
          <w:szCs w:val="22"/>
        </w:rPr>
        <w:t xml:space="preserve">The Commission for the Rights of Persons with Disability has been identified as the entity in charge of the independent monitoring framework. It has set up a Disabled Persons’ Advisory Committee as part of its obligation to involve civil society, especially disabled people and their representative organisations.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Commission for the Rights of Persons with Disability </w:t>
      </w:r>
      <w:br/>
      <w:hyperlink r:id="rId12" w:history="1">
        <w:r>
          <w:rPr>
            <w:rStyle w:val="Link"/>
          </w:rPr>
          <w:t xml:space="preserve">http://www.crpd.org.mt</w:t>
        </w:r>
      </w:hyperlink>
      <w:br/>
    </w:p>
    <w:p>
      <w:pPr>
        <w:pStyle w:val="Heading4"/>
      </w:pPr>
      <w:bookmarkStart w:id="11" w:name="_Toc11"/>
      <w:r>
        <w:t>A8. Official reporting</w:t>
      </w:r>
      <w:bookmarkEnd w:id="11"/>
    </w:p>
    <w:p>
      <w:pPr/>
    </w:p>
    <w:p>
      <w:pPr>
        <w:spacing w:before="120" w:after="240"/>
      </w:pPr>
      <w:r>
        <w:rPr>
          <w:rFonts w:ascii="Arial" w:hAnsi="Arial" w:eastAsia="Arial" w:cs="Arial"/>
          <w:color w:val="#000000"/>
          <w:sz w:val="22"/>
          <w:szCs w:val="22"/>
        </w:rPr>
        <w:t xml:space="preserve">Malta's initial state report was due in November 2014 and it was submitted on the due date. In 2018, the UN Committee on the Rights of Persons with Disabilities published a list of issues in relation to the initial report of Malta, including on how the legislation establishes a human rights model of disability, on assessment and certification of persons with disability, women and children with disabilities, accessibility, education, employment, and data collection among others. In June 2018, Malta replied to this list and in September 2018, the UN Committee gave its concluding observations on Malta’s initial state report.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State reports to the UN Committee</w:t>
      </w:r>
      <w:br/>
      <w:hyperlink r:id="rId13" w:history="1">
        <w:r>
          <w:rPr>
            <w:rStyle w:val="Link"/>
          </w:rPr>
          <w:t xml:space="preserve">https://tbinternet.ohchr.org/_layouts/treatybodyexternal/TBSearch.aspx?Lang=en&amp;TreatyID=4&amp;CountryID=108&amp;DocTypeID=29</w:t>
        </w:r>
      </w:hyperlink>
      <w:br/>
      <w:r>
        <w:rPr>
          <w:rFonts w:ascii="Arial" w:hAnsi="Arial" w:eastAsia="Arial" w:cs="Arial"/>
          <w:color w:val="#000000"/>
          <w:sz w:val="22"/>
          <w:szCs w:val="22"/>
        </w:rPr>
        <w:t xml:space="preserve">UN reporting cycle documentation - Malta</w:t>
      </w:r>
      <w:br/>
      <w:hyperlink r:id="rId14" w:history="1">
        <w:r>
          <w:rPr>
            <w:rStyle w:val="Link"/>
          </w:rPr>
          <w:t xml:space="preserve">https://tbinternet.ohchr.org/_layouts/treatybodyexternal/TBSearch.aspx?Lang=en&amp;TreatyID=4&amp;CountryID=108</w:t>
        </w:r>
      </w:hyperlink>
      <w:br/>
    </w:p>
    <w:p>
      <w:pPr>
        <w:pStyle w:val="Heading4"/>
      </w:pPr>
      <w:bookmarkStart w:id="12" w:name="_Toc12"/>
      <w:r>
        <w:t>A9. Shadow reporting</w:t>
      </w:r>
      <w:bookmarkEnd w:id="12"/>
    </w:p>
    <w:p>
      <w:pPr/>
    </w:p>
    <w:p>
      <w:pPr>
        <w:spacing w:before="120" w:after="240"/>
      </w:pPr>
      <w:r>
        <w:rPr>
          <w:rFonts w:ascii="Arial" w:hAnsi="Arial" w:eastAsia="Arial" w:cs="Arial"/>
          <w:color w:val="#000000"/>
          <w:sz w:val="22"/>
          <w:szCs w:val="22"/>
        </w:rPr>
        <w:t xml:space="preserve">The Commission for the Rights of Persons with Disability (Malta), in March 2013, published a report titled 'Working Towards the Implementation of the UN Convention on the Rights of Persons with Disabilities'. During the process of drafting the report, a wide consultation was held with major stakeholders, including disabled people's organisations. At the end of February 2018, the Commission for the Rights of Persons with Disability submitted a shadow report. In March 2018, a discussion between the rapporteur for Malta and the Commission was held.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Civil society reports to the UN Committee</w:t>
      </w:r>
      <w:br/>
      <w:hyperlink r:id="rId15" w:history="1">
        <w:r>
          <w:rPr>
            <w:rStyle w:val="Link"/>
          </w:rPr>
          <w:t xml:space="preserve">https://tbinternet.ohchr.org/_layouts/treatybodyexternal/TBSearch.aspx?Lang=en&amp;TreatyID=4&amp;CountryID=108&amp;DocTypeID=14</w:t>
        </w:r>
      </w:hyperlink>
      <w:br/>
      <w:r>
        <w:rPr>
          <w:rFonts w:ascii="Arial" w:hAnsi="Arial" w:eastAsia="Arial" w:cs="Arial"/>
          <w:color w:val="#000000"/>
          <w:sz w:val="22"/>
          <w:szCs w:val="22"/>
        </w:rPr>
        <w:t xml:space="preserve">Working Towards the Implementation of the UN Convention on the Rights of Persons with Disabilities</w:t>
      </w:r>
      <w:br/>
      <w:hyperlink r:id="rId16" w:history="1">
        <w:r>
          <w:rPr>
            <w:rStyle w:val="Link"/>
          </w:rPr>
          <w:t xml:space="preserve">http://www.knpd.org/pubs/pdf/Implementation_UNCRPD%20Report%20201303.pdf</w:t>
        </w:r>
      </w:hyperlink>
      <w:br/>
      <w:r>
        <w:rPr>
          <w:rFonts w:ascii="Arial" w:hAnsi="Arial" w:eastAsia="Arial" w:cs="Arial"/>
          <w:color w:val="#000000"/>
          <w:sz w:val="22"/>
          <w:szCs w:val="22"/>
        </w:rPr>
        <w:t xml:space="preserve">Shadow Report </w:t>
      </w:r>
      <w:br/>
      <w:hyperlink r:id="rId17" w:history="1">
        <w:r>
          <w:rPr>
            <w:rStyle w:val="Link"/>
          </w:rPr>
          <w:t xml:space="preserve">https://tbinternet.ohchr.org/Treaties/CRPD/Shared%20Documents/MLT/INT_CRPD_ICO_MLT_30550_E.docx</w:t>
        </w:r>
      </w:hyperlink>
      <w:br/>
    </w:p>
    <w:p>
      <w:pPr>
        <w:pStyle w:val="Heading3"/>
      </w:pPr>
      <w:bookmarkStart w:id="13" w:name="_Toc13"/>
      <w:r>
        <w:t>B. General legal framework</w:t>
      </w:r>
      <w:bookmarkEnd w:id="13"/>
    </w:p>
    <w:p>
      <w:pPr>
        <w:pStyle w:val="Heading4"/>
      </w:pPr>
      <w:bookmarkStart w:id="14" w:name="_Toc14"/>
      <w:r>
        <w:t>B1. Anti-discrimination legislation</w:t>
      </w:r>
      <w:bookmarkEnd w:id="14"/>
    </w:p>
    <w:p>
      <w:pPr/>
    </w:p>
    <w:p>
      <w:pPr>
        <w:spacing w:before="120" w:after="240"/>
      </w:pPr>
      <w:r>
        <w:rPr>
          <w:rFonts w:ascii="Arial" w:hAnsi="Arial" w:eastAsia="Arial" w:cs="Arial"/>
          <w:color w:val="#000000"/>
          <w:sz w:val="22"/>
          <w:szCs w:val="22"/>
        </w:rPr>
        <w:t xml:space="preserve">The Maltese Constitution declares that every Maltese citizen is equal under the law and is entitled to the same rights. However, there is no specific reference to discrimination against people with disability. In the Constitution, disabled people’s rights are safeguarded in so far as it asserts that disabled people who cannot work are entitled to education and vocational training (Article 17). Comprehensive legislation to create a legal basis for the implementation of these rights was adopted in 2000 with a unanimous vote in favour of the Equal Opportunities (Persons with Disability) Act (Chapter 413) which establishes the principle of anti-discrimination on the basis of disability and prohibits both public and private sector entities from discriminating against disabled people in education, employment, goods and services, physical access, accommodation and insurance. Through a recent amendment, a new pillar on health, in which discrimination is prohibited, was included. A set of rights for persons with disability were also added via an amendment made to this act in 2016. 
</w:t>
      </w:r>
    </w:p>
    <w:p>
      <w:pPr>
        <w:spacing w:before="120" w:after="240"/>
      </w:pPr>
      <w:r>
        <w:rPr>
          <w:rFonts w:ascii="Arial" w:hAnsi="Arial" w:eastAsia="Arial" w:cs="Arial"/>
          <w:color w:val="#000000"/>
          <w:sz w:val="22"/>
          <w:szCs w:val="22"/>
        </w:rPr>
        <w:t xml:space="preserve">This Act also granted the Commission for the Rights of Persons with Disability (CRPD) legal status to enforce and implement the Act as well as to act as independent mechanism to the UNCRPD. Disabled women and children are not specifically mentioned in this Act but are included within the whole population of disabled persons.
</w:t>
      </w:r>
    </w:p>
    <w:p>
      <w:pPr>
        <w:spacing w:before="120" w:after="240"/>
      </w:pPr>
      <w:r>
        <w:rPr>
          <w:rFonts w:ascii="Arial" w:hAnsi="Arial" w:eastAsia="Arial" w:cs="Arial"/>
          <w:color w:val="#000000"/>
          <w:sz w:val="22"/>
          <w:szCs w:val="22"/>
        </w:rPr>
        <w:t xml:space="preserve">On 6 May 2014 a private member's bill was presented to the Parliament by the Opposition to amend Articles 32 and 45 of the Constitution to introduce safeguards against discrimination over any form of disability. The amendments would give more strength to the UNCRPD which Malta ratified two years ago. The amendment would also mean that there would be constitutional remedies for those who were discriminated on the basis of disability.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Equal Opportunities (Persons with Disability) Act (Chapter 413)</w:t>
      </w:r>
      <w:br/>
      <w:hyperlink r:id="rId18" w:history="1">
        <w:r>
          <w:rPr>
            <w:rStyle w:val="Link"/>
          </w:rPr>
          <w:t xml:space="preserve">http://www.justiceservices.gov.mt/downloaddocument.aspx?app=lom&amp;itemid=8879&amp;l=1</w:t>
        </w:r>
      </w:hyperlink>
      <w:br/>
      <w:r>
        <w:rPr>
          <w:rFonts w:ascii="Arial" w:hAnsi="Arial" w:eastAsia="Arial" w:cs="Arial"/>
          <w:color w:val="#000000"/>
          <w:sz w:val="22"/>
          <w:szCs w:val="22"/>
        </w:rPr>
        <w:t xml:space="preserve">Constitution of Malta</w:t>
      </w:r>
      <w:br/>
      <w:hyperlink r:id="rId19" w:history="1">
        <w:r>
          <w:rPr>
            <w:rStyle w:val="Link"/>
          </w:rPr>
          <w:t xml:space="preserve">http://www.justiceservices.gov.mt/DownloadDocument.aspx?app=lom&amp;itemid=8566&amp;l=1</w:t>
        </w:r>
      </w:hyperlink>
      <w:br/>
      <w:r>
        <w:rPr>
          <w:rFonts w:ascii="Arial" w:hAnsi="Arial" w:eastAsia="Arial" w:cs="Arial"/>
          <w:color w:val="#000000"/>
          <w:sz w:val="22"/>
          <w:szCs w:val="22"/>
        </w:rPr>
        <w:t xml:space="preserve">Amendments to the Equal Opportunities (Person with Disability) Act</w:t>
      </w:r>
      <w:br/>
      <w:hyperlink r:id="rId20" w:history="1">
        <w:r>
          <w:rPr>
            <w:rStyle w:val="Link"/>
          </w:rPr>
          <w:t xml:space="preserve">https://parlament.mt/12th-leg/acts-12th/act-xxiv-of-2016/</w:t>
        </w:r>
      </w:hyperlink>
      <w:br/>
    </w:p>
    <w:p>
      <w:pPr>
        <w:pStyle w:val="Heading4"/>
      </w:pPr>
      <w:bookmarkStart w:id="15" w:name="_Toc15"/>
      <w:r>
        <w:t>B2. Recognition of legal capacity</w:t>
      </w:r>
      <w:bookmarkEnd w:id="15"/>
    </w:p>
    <w:p>
      <w:pPr/>
    </w:p>
    <w:p>
      <w:pPr>
        <w:spacing w:before="120" w:after="240"/>
      </w:pPr>
      <w:r>
        <w:rPr>
          <w:rFonts w:ascii="Arial" w:hAnsi="Arial" w:eastAsia="Arial" w:cs="Arial"/>
          <w:color w:val="#000000"/>
          <w:sz w:val="22"/>
          <w:szCs w:val="22"/>
        </w:rPr>
        <w:t xml:space="preserve">The Constitution of Malta establishes certain exceptions where it is deemed justifiable to restrict the civil and political rights of citizens. These include considerations based on the grounds of age, imprisonment and certain mental conditions that might preclude entitlement to these rights. However, the constitution fails to go into detail about the interpretation of these conditions. In addition, the Civil Code (Chapter 16) and the Code of Organisation and Civil Procedure (Chapter 12) provide for the interdiction or incapacitation of persons deemed to have a mental disorder or other condition which renders them incapable of managing their own affairs. In 2012, the Maltese Parliament enacted legislation amending the Civil Code and the Code of Organisation and Civil Procedure to introduce Guardianship Legislation aimed at replacing interdiction or incapacitation for persons with disability and persons with mental disorder. This legislation introduces a mechanism that identifies the needs and abilities of disabled persons, recognising the fact that these may change. It includes the establishment of a Guardianship Board that regulates how guardianship orders are issued and implemented, ensuring that these are proportionate to the support needs of the disabled person. The legislation also obliges the guardian to consult with the person with disability before taking any decision and acts as much as possible according to their wishes. It also includes a mechanism for appeal and for regular review of the guardianship orders. The Guardianship Board was appointed on 8 August 2014. Mental capacity is also included in the Mental Health Act which was adopted by Parliament in 2012. This Act states that a person with mental disorder is deemed capable of taking decisions unless certified by a specialist as being incapable of doing so. Those who are certified as having mental incapacity are appointed a responsible carer which, as much as possible, is chosen by the person. Failing this, the Act includes the mechanism for the appointment of a responsible carer who must manifest concern for the person's welfare.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Act to amend the Code of Organisation and Civil Procedure and the Civil Code for the purpose of providing for Guardianship</w:t>
      </w:r>
      <w:br/>
      <w:hyperlink r:id="rId21" w:history="1">
        <w:r>
          <w:rPr>
            <w:rStyle w:val="Link"/>
          </w:rPr>
          <w:t xml:space="preserve">http://justiceservices.gov.mt/DownloadDocument.aspx?app=lp&amp;itemid=24286&amp;l=1</w:t>
        </w:r>
      </w:hyperlink>
      <w:br/>
      <w:r>
        <w:rPr>
          <w:rFonts w:ascii="Arial" w:hAnsi="Arial" w:eastAsia="Arial" w:cs="Arial"/>
          <w:color w:val="#000000"/>
          <w:sz w:val="22"/>
          <w:szCs w:val="22"/>
        </w:rPr>
        <w:t xml:space="preserve">Constitution of Malta</w:t>
      </w:r>
      <w:br/>
      <w:hyperlink r:id="rId19" w:history="1">
        <w:r>
          <w:rPr>
            <w:rStyle w:val="Link"/>
          </w:rPr>
          <w:t xml:space="preserve">http://www.justiceservices.gov.mt/DownloadDocument.aspx?app=lom&amp;itemid=8566&amp;l=1</w:t>
        </w:r>
      </w:hyperlink>
      <w:br/>
      <w:r>
        <w:rPr>
          <w:rFonts w:ascii="Arial" w:hAnsi="Arial" w:eastAsia="Arial" w:cs="Arial"/>
          <w:color w:val="#000000"/>
          <w:sz w:val="22"/>
          <w:szCs w:val="22"/>
        </w:rPr>
        <w:t xml:space="preserve">Code of Organisation and Civil Procedure</w:t>
      </w:r>
      <w:br/>
      <w:hyperlink r:id="rId22" w:history="1">
        <w:r>
          <w:rPr>
            <w:rStyle w:val="Link"/>
          </w:rPr>
          <w:t xml:space="preserve">http://justiceservices.gov.mt/DownloadDocument.aspx?app=lom&amp;itemid=8577&amp;l=1</w:t>
        </w:r>
      </w:hyperlink>
      <w:br/>
      <w:r>
        <w:rPr>
          <w:rFonts w:ascii="Arial" w:hAnsi="Arial" w:eastAsia="Arial" w:cs="Arial"/>
          <w:color w:val="#000000"/>
          <w:sz w:val="22"/>
          <w:szCs w:val="22"/>
        </w:rPr>
        <w:t xml:space="preserve">Civil Code (Chapter 16)</w:t>
      </w:r>
      <w:br/>
      <w:hyperlink r:id="rId23" w:history="1">
        <w:r>
          <w:rPr>
            <w:rStyle w:val="Link"/>
          </w:rPr>
          <w:t xml:space="preserve">http://justiceservices.gov.mt/DownloadDocument.aspx?app=lom&amp;itemid=8580&amp;l=1</w:t>
        </w:r>
      </w:hyperlink>
      <w:br/>
      <w:r>
        <w:rPr>
          <w:rFonts w:ascii="Arial" w:hAnsi="Arial" w:eastAsia="Arial" w:cs="Arial"/>
          <w:color w:val="#000000"/>
          <w:sz w:val="22"/>
          <w:szCs w:val="22"/>
        </w:rPr>
        <w:t xml:space="preserve">Mental Health Act</w:t>
      </w:r>
      <w:br/>
      <w:hyperlink r:id="rId24" w:history="1">
        <w:r>
          <w:rPr>
            <w:rStyle w:val="Link"/>
          </w:rPr>
          <w:t xml:space="preserve">http://justiceservices.gov.mt/DownloadDocument.aspx?app=lp&amp;itemid=23429&amp;l=1</w:t>
        </w:r>
      </w:hyperlink>
      <w:br/>
    </w:p>
    <w:p>
      <w:pPr>
        <w:pStyle w:val="Heading4"/>
      </w:pPr>
      <w:bookmarkStart w:id="16" w:name="_Toc16"/>
      <w:r>
        <w:t>B3. Accessibility of voting and elections</w:t>
      </w:r>
      <w:bookmarkEnd w:id="16"/>
    </w:p>
    <w:p>
      <w:pPr/>
    </w:p>
    <w:p>
      <w:pPr>
        <w:spacing w:before="120" w:after="240"/>
      </w:pPr>
      <w:r>
        <w:rPr>
          <w:rFonts w:ascii="Arial" w:hAnsi="Arial" w:eastAsia="Arial" w:cs="Arial"/>
          <w:color w:val="#000000"/>
          <w:sz w:val="22"/>
          <w:szCs w:val="22"/>
        </w:rPr>
        <w:t xml:space="preserve">Since the adoption of the Equal Opportunities (Persons with Disability) Act (2000), the voting process must be accessible to all, including disabled people. Since 2000, polling booths need to be physically accessible and must offer disabled people assistance with voting if required. However, due to Malta’s political history, alternative methods of voting that might enable certain impairment groups to vote in secret, such as online voting, have been opposed by both major political parties on grounds that this may lead to vote rigging or abuse in the system. In practice, physically impaired people who cannot use their hands cannot vote in secret but need to vote only in the presence of electoral officials who make sure no one, except the voter, is in the room. While blind and visually impaired people have been given the option of voting using a tactile template, they may still vote through electoral officials. This system has been deemed progressive in allowing blind people to submit a secret vote. However, the tactile template has been criticised by the Malta Blind Society as it only provides a solution to a small number of blind people. Requests for blind or visually impaired people to vote via a trusted friend were rejected and, in fact, the government made a reservation to Article 29 of the UN Convention stating that: "Pursuant to Article 29 (a) (i) and (iii) of the Convention, while the Government of Malta is fully committed to ensure the effective and full participation of persons with disabilities in political and public life, including the exercise of their right to vote by secret ballot in elections and referenda, and to stand for elections, Malta makes the following reservations: With regard to (a) (i) At this stage, Malta reserves the right to continue to apply its current electoral legislation in so far as voting procedures, facilities and materials are concerned. With regard to (a) (iii) Malta reserves the right to continue to apply its current electoral legislation in so far as assistance in voting procedures is concerned." In this sense, even if physically disabled people and blind people have the right to vote, not all disabled people who belong to these groups have the opportunity to vote in secret. Moreover, the Maltese constitution can preclude the right of people with intellectual impairments to vote at all with Chapter VI (b) stating that: "If he is interdicted or incapacitated for any mental infirmity or for prodigality by a court in Malta, or is otherwise determined in Malta to be of unsound mind" (Article VI: {b}). This article has often meant that a number of people declared to have mental or psychiatric conditions may also be denied the right to vote. While the voting status of people with mental health issues may be overturned, the voting right of people with an intellectual impairment is usually permanent. However, plans are underway to periodically revise the medical assessment declaring a person's legal incompetence.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Equal Opportunities (Persons with Disability) Act (Chapter 413)</w:t>
      </w:r>
      <w:br/>
      <w:hyperlink r:id="rId18" w:history="1">
        <w:r>
          <w:rPr>
            <w:rStyle w:val="Link"/>
          </w:rPr>
          <w:t xml:space="preserve">http://www.justiceservices.gov.mt/downloaddocument.aspx?app=lom&amp;itemid=8879&amp;l=1</w:t>
        </w:r>
      </w:hyperlink>
      <w:br/>
      <w:r>
        <w:rPr>
          <w:rFonts w:ascii="Arial" w:hAnsi="Arial" w:eastAsia="Arial" w:cs="Arial"/>
          <w:color w:val="#000000"/>
          <w:sz w:val="22"/>
          <w:szCs w:val="22"/>
        </w:rPr>
        <w:t xml:space="preserve">The United Nations Treaty Collection</w:t>
      </w:r>
      <w:br/>
      <w:hyperlink r:id="rId8" w:history="1">
        <w:r>
          <w:rPr>
            <w:rStyle w:val="Link"/>
          </w:rPr>
          <w:t xml:space="preserve">https://treaties.un.org/Pages/ViewDetails.aspx?src=TREATY&amp;mtdsg_no=IV-15&amp;chapter=4&amp;lang=_en&amp;clang=_en#EndDec</w:t>
        </w:r>
      </w:hyperlink>
      <w:br/>
      <w:r>
        <w:rPr>
          <w:rFonts w:ascii="Arial" w:hAnsi="Arial" w:eastAsia="Arial" w:cs="Arial"/>
          <w:color w:val="#000000"/>
          <w:sz w:val="22"/>
          <w:szCs w:val="22"/>
        </w:rPr>
        <w:t xml:space="preserve">The Constitution of Malta </w:t>
      </w:r>
      <w:br/>
      <w:hyperlink r:id="rId25" w:history="1">
        <w:r>
          <w:rPr>
            <w:rStyle w:val="Link"/>
          </w:rPr>
          <w:t xml:space="preserve">http://justiceservices.gov.mt/DownloadDocument.aspx?app=lom&amp;itemid=8566</w:t>
        </w:r>
      </w:hyperlink>
      <w:br/>
    </w:p>
    <w:p>
      <w:pPr>
        <w:pStyle w:val="Heading4"/>
      </w:pPr>
      <w:bookmarkStart w:id="17" w:name="_Toc17"/>
      <w:r>
        <w:t>B4. Official recognition of sign language</w:t>
      </w:r>
      <w:bookmarkEnd w:id="17"/>
    </w:p>
    <w:p>
      <w:pPr/>
    </w:p>
    <w:p>
      <w:pPr>
        <w:spacing w:before="120" w:after="240"/>
      </w:pPr>
      <w:r>
        <w:rPr>
          <w:rFonts w:ascii="Arial" w:hAnsi="Arial" w:eastAsia="Arial" w:cs="Arial"/>
          <w:color w:val="#000000"/>
          <w:sz w:val="22"/>
          <w:szCs w:val="22"/>
        </w:rPr>
        <w:t xml:space="preserve">The Equal Opportunities (Persons with Disability) Act recognises the right of disabled people to use the services of an interpreter (Part III.7.5.b) and outlaws discrimination against those who use such assistance, as for other forms of personal assistance (Part II.6). The public broadcasting service offers a very limited selection of programmes, including a daily news segment, with sign language interpretation. More recently, in 2016, the Maltese Sign Language Recognition Act was enacted in the Parliament. This legislation declares Maltese Sign Language as one of the official languages of Malta, together with Maltese and English. In addition, it also provides for the setting up, composition and function of a Sign Language Council.</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Equal Opportunities (Persons with Disability) Act (Chapter 413)</w:t>
      </w:r>
      <w:br/>
      <w:hyperlink r:id="rId26" w:history="1">
        <w:r>
          <w:rPr>
            <w:rStyle w:val="Link"/>
          </w:rPr>
          <w:t xml:space="preserve">http://justiceservices.gov.mt/DownloadDocument.aspx?app=lom&amp;itemid=8879&amp;l=1</w:t>
        </w:r>
      </w:hyperlink>
      <w:br/>
      <w:r>
        <w:rPr>
          <w:rFonts w:ascii="Arial" w:hAnsi="Arial" w:eastAsia="Arial" w:cs="Arial"/>
          <w:color w:val="#000000"/>
          <w:sz w:val="22"/>
          <w:szCs w:val="22"/>
        </w:rPr>
        <w:t xml:space="preserve">Maltese Sign Language Recognition Act</w:t>
      </w:r>
      <w:br/>
      <w:hyperlink r:id="rId27" w:history="1">
        <w:r>
          <w:rPr>
            <w:rStyle w:val="Link"/>
          </w:rPr>
          <w:t xml:space="preserve">http://www.justiceservices.gov.mt/DownloadDocument.aspx?app=lp&amp;itemid=26704&amp;l=1</w:t>
        </w:r>
      </w:hyperlink>
      <w:br/>
    </w:p>
    <w:p>
      <w:pPr>
        <w:pStyle w:val="Heading4"/>
      </w:pPr>
      <w:bookmarkStart w:id="18" w:name="_Toc18"/>
      <w:r>
        <w:t>B5. National disability strategy and action plan</w:t>
      </w:r>
      <w:bookmarkEnd w:id="18"/>
    </w:p>
    <w:p>
      <w:pPr/>
    </w:p>
    <w:p>
      <w:pPr>
        <w:spacing w:before="120" w:after="240"/>
      </w:pPr>
      <w:r>
        <w:rPr>
          <w:rFonts w:ascii="Arial" w:hAnsi="Arial" w:eastAsia="Arial" w:cs="Arial"/>
          <w:color w:val="#000000"/>
          <w:sz w:val="22"/>
          <w:szCs w:val="22"/>
        </w:rPr>
        <w:t xml:space="preserve">The National Policy on the Rights of Persons with Disability has been drawn up by the Kumitat Azzjoni lejn Socjeta' Gusta (Action towards a Just Society Committee) in collaboration with the Parliamentary Secretary for the Rights of Persons with Disability and Active Ageing within the Ministry for the Family and Social Solidarity. The Consultative Document was launched on 17 March 2014. The National Policy on the Rights of Persons with Disability was launched in December 2014. In May 2016, a draft of the Malta National Disability Strategy was launched for consultation. The final draft has not yet been launched.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Consultative Document</w:t>
      </w:r>
      <w:br/>
      <w:hyperlink r:id="rId28" w:history="1">
        <w:r>
          <w:rPr>
            <w:rStyle w:val="Link"/>
          </w:rPr>
          <w:t xml:space="preserve">http://activeageing.gov.mt/en/Documents/National%20Draft%20Policy.pdf</w:t>
        </w:r>
      </w:hyperlink>
      <w:br/>
      <w:r>
        <w:rPr>
          <w:rFonts w:ascii="Arial" w:hAnsi="Arial" w:eastAsia="Arial" w:cs="Arial"/>
          <w:color w:val="#000000"/>
          <w:sz w:val="22"/>
          <w:szCs w:val="22"/>
        </w:rPr>
        <w:t xml:space="preserve">National Policy on the Rights of Persons with Disability</w:t>
      </w:r>
      <w:br/>
      <w:hyperlink r:id="rId29" w:history="1">
        <w:r>
          <w:rPr>
            <w:rStyle w:val="Link"/>
          </w:rPr>
          <w:t xml:space="preserve">https://activeageing.gov.mt/en/Pages/National-Policy-on-the-Rights-of-Persons-with-Disability.aspx</w:t>
        </w:r>
      </w:hyperlink>
      <w:br/>
      <w:r>
        <w:rPr>
          <w:rFonts w:ascii="Arial" w:hAnsi="Arial" w:eastAsia="Arial" w:cs="Arial"/>
          <w:color w:val="#000000"/>
          <w:sz w:val="22"/>
          <w:szCs w:val="22"/>
        </w:rPr>
        <w:t xml:space="preserve">Consultative Document of the Malta National Disability Strategy</w:t>
      </w:r>
      <w:br/>
      <w:hyperlink r:id="rId30" w:history="1">
        <w:r>
          <w:rPr>
            <w:rStyle w:val="Link"/>
          </w:rPr>
          <w:t xml:space="preserve">https://activeageing.gov.mt/en/Documents/SOCIAL%20POLICY%20WEB.pdf</w:t>
        </w:r>
      </w:hyperlink>
      <w:br/>
    </w:p>
    <w:p>
      <w:pPr>
        <w:pStyle w:val="Heading3"/>
      </w:pPr>
      <w:bookmarkStart w:id="19" w:name="_Toc19"/>
      <w:r>
        <w:t>C. Accessibility</w:t>
      </w:r>
      <w:bookmarkEnd w:id="19"/>
    </w:p>
    <w:p>
      <w:pPr>
        <w:pStyle w:val="Heading4"/>
      </w:pPr>
      <w:bookmarkStart w:id="20" w:name="_Toc20"/>
      <w:r>
        <w:t>C1. Transport accessibility</w:t>
      </w:r>
      <w:bookmarkEnd w:id="20"/>
    </w:p>
    <w:p>
      <w:pPr/>
    </w:p>
    <w:p>
      <w:pPr>
        <w:spacing w:before="120" w:after="240"/>
      </w:pPr>
      <w:r>
        <w:rPr>
          <w:rFonts w:ascii="Arial" w:hAnsi="Arial" w:eastAsia="Arial" w:cs="Arial"/>
          <w:color w:val="#000000"/>
          <w:sz w:val="22"/>
          <w:szCs w:val="22"/>
        </w:rPr>
        <w:t xml:space="preserve">Public transport in Malta is provided by buses. Public transports are required to be accessible for all, in line with the Equal Opportunities (Persons with Disability) Act. In fact, a fleet of buses which are low floor and wheelchair accessible started operating in July 2011. Apart from providing physical access, the company contracted to manage the public transport has invested in a series of information campaigns and will provide information about the new routes by telephone, email or through their website. Moreover, drivers and staff working for the company have received in-house training and management has consulted the Commission for the Rights of Persons with Disability (CRPD) on the service. Public transport is at a reduced fare for all disabled people who are in the possession of a Tallinja Concession Card. The Concession Card is obtained by all holders of a Special ID Card (now the EU Disability Card) issued by the Commission for the Rights of Persons with Disability. The government also provides free transport service to and from state hospitals (by appointment). 
</w:t>
      </w:r>
    </w:p>
    <w:p>
      <w:pPr>
        <w:spacing w:before="120" w:after="240"/>
      </w:pPr>
      <w:r>
        <w:rPr>
          <w:rFonts w:ascii="Arial" w:hAnsi="Arial" w:eastAsia="Arial" w:cs="Arial"/>
          <w:color w:val="#000000"/>
          <w:sz w:val="22"/>
          <w:szCs w:val="22"/>
        </w:rPr>
        <w:t xml:space="preserve">Some new taxi companies are also providing wheelchair-accessible taxis. While this service may offer more choices to disabled people, the service is too costly to use for the daily travel needs of many disabled people. There are also a number of private companies offering wheelchair accessible vans. One of these companies has been contracted by the government to offer subsidised travel for disabled people to fulfil their travel requirements to access work or education. However, beyond office hours the service remains very costly. In addition, since demand exceeds supply, when it comes to the subsidised accessible transport service, there are long waiting lists of disabled people wishing to use the service.
</w:t>
      </w:r>
    </w:p>
    <w:p>
      <w:pPr>
        <w:spacing w:before="120" w:after="240"/>
      </w:pPr>
      <w:r>
        <w:rPr>
          <w:rFonts w:ascii="Arial" w:hAnsi="Arial" w:eastAsia="Arial" w:cs="Arial"/>
          <w:color w:val="#000000"/>
          <w:sz w:val="22"/>
          <w:szCs w:val="22"/>
        </w:rPr>
        <w:t xml:space="preserve">A ferry service also operates between Malta and its sister island Gozo. The service is accessible and the staff have received disability equality training organized by the Commission for the Rights of Persons with Disability. Disabled people can travel free of charge if they are in possession of a Special ID card issued by the Commission.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Malta &amp; Gozo Public Transport Reform</w:t>
      </w:r>
      <w:br/>
      <w:hyperlink r:id="rId31" w:history="1">
        <w:r>
          <w:rPr>
            <w:rStyle w:val="Link"/>
          </w:rPr>
          <w:t xml:space="preserve">https://www.publictransport.com.mt/accessibility</w:t>
        </w:r>
      </w:hyperlink>
      <w:br/>
      <w:r>
        <w:rPr>
          <w:rFonts w:ascii="Arial" w:hAnsi="Arial" w:eastAsia="Arial" w:cs="Arial"/>
          <w:color w:val="#000000"/>
          <w:sz w:val="22"/>
          <w:szCs w:val="22"/>
        </w:rPr>
        <w:t xml:space="preserve">Tal-Linja Concession Card</w:t>
      </w:r>
      <w:br/>
      <w:hyperlink r:id="rId32" w:history="1">
        <w:r>
          <w:rPr>
            <w:rStyle w:val="Link"/>
          </w:rPr>
          <w:t xml:space="preserve">https://www.publictransport.com.mt/concession</w:t>
        </w:r>
      </w:hyperlink>
      <w:br/>
      <w:r>
        <w:rPr>
          <w:rFonts w:ascii="Arial" w:hAnsi="Arial" w:eastAsia="Arial" w:cs="Arial"/>
          <w:color w:val="#000000"/>
          <w:sz w:val="22"/>
          <w:szCs w:val="22"/>
        </w:rPr>
        <w:t xml:space="preserve">Gozo Channel Company Limited website</w:t>
      </w:r>
      <w:br/>
      <w:hyperlink r:id="rId33" w:history="1">
        <w:r>
          <w:rPr>
            <w:rStyle w:val="Link"/>
          </w:rPr>
          <w:t xml:space="preserve">http://www.gozochannel.com/</w:t>
        </w:r>
      </w:hyperlink>
      <w:br/>
      <w:r>
        <w:rPr>
          <w:rFonts w:ascii="Arial" w:hAnsi="Arial" w:eastAsia="Arial" w:cs="Arial"/>
          <w:color w:val="#000000"/>
          <w:sz w:val="22"/>
          <w:szCs w:val="22"/>
        </w:rPr>
        <w:t xml:space="preserve">Equal Opportunities (Persons with Disability) Act (Chapter 413)</w:t>
      </w:r>
      <w:br/>
      <w:hyperlink r:id="rId26" w:history="1">
        <w:r>
          <w:rPr>
            <w:rStyle w:val="Link"/>
          </w:rPr>
          <w:t xml:space="preserve">http://justiceservices.gov.mt/DownloadDocument.aspx?app=lom&amp;itemid=8879&amp;l=1</w:t>
        </w:r>
      </w:hyperlink>
      <w:br/>
    </w:p>
    <w:p>
      <w:pPr>
        <w:pStyle w:val="Heading4"/>
      </w:pPr>
      <w:bookmarkStart w:id="21" w:name="_Toc21"/>
      <w:r>
        <w:t>C2. Built environment accessibility</w:t>
      </w:r>
      <w:bookmarkEnd w:id="21"/>
    </w:p>
    <w:p>
      <w:pPr/>
    </w:p>
    <w:p>
      <w:pPr>
        <w:spacing w:before="120" w:after="240"/>
      </w:pPr>
      <w:r>
        <w:rPr>
          <w:rFonts w:ascii="Arial" w:hAnsi="Arial" w:eastAsia="Arial" w:cs="Arial"/>
          <w:color w:val="#000000"/>
          <w:sz w:val="22"/>
          <w:szCs w:val="22"/>
        </w:rPr>
        <w:t xml:space="preserve">The Equal Opportunities (Persons with Disability) Act established that all public and private buildings that are for the use of the public have to be accessible to all. This also includes outdoor property, such as gardens and pavements. Planning applications for buildings open to the public that are submitted to the Malta Environment and Planning Authority are vetted by the Commission for the Rights of Persons with Disability to establish their conformity with the Accessibility for All in the Built Environment Standards (SM 3800:2015). Permits for buildings are dependent, among other things, on clearance from the Commission regarding accessibility. Developers can apply for exemptions for valid financial or technical reasons. These applications are assessed by the Commission.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Equal Opportunities (Persons with Disability) Act (Chapter 413)</w:t>
      </w:r>
      <w:br/>
      <w:hyperlink r:id="rId34" w:history="1">
        <w:r>
          <w:rPr>
            <w:rStyle w:val="Link"/>
          </w:rPr>
          <w:t xml:space="preserve">http://www.justiceservices.gov.mt/downloaddocument.aspx?app=lom&amp;itemid=8879</w:t>
        </w:r>
      </w:hyperlink>
      <w:br/>
      <w:r>
        <w:rPr>
          <w:rFonts w:ascii="Arial" w:hAnsi="Arial" w:eastAsia="Arial" w:cs="Arial"/>
          <w:color w:val="#000000"/>
          <w:sz w:val="22"/>
          <w:szCs w:val="22"/>
        </w:rPr>
        <w:t xml:space="preserve">Access for All Design Guidelines</w:t>
      </w:r>
      <w:br/>
      <w:hyperlink r:id="rId35" w:history="1">
        <w:r>
          <w:rPr>
            <w:rStyle w:val="Link"/>
          </w:rPr>
          <w:t xml:space="preserve">https://crpd.org.mt/wp-content/uploads/2016/04/Access-for-all-2011.pdf</w:t>
        </w:r>
      </w:hyperlink>
      <w:br/>
      <w:r>
        <w:rPr>
          <w:rFonts w:ascii="Arial" w:hAnsi="Arial" w:eastAsia="Arial" w:cs="Arial"/>
          <w:color w:val="#000000"/>
          <w:sz w:val="22"/>
          <w:szCs w:val="22"/>
        </w:rPr>
        <w:t xml:space="preserve">Accessibility for All in the Built Environment Standards (SM 3800:2015) - MCCAA Page</w:t>
      </w:r>
      <w:br/>
      <w:hyperlink r:id="rId36" w:history="1">
        <w:r>
          <w:rPr>
            <w:rStyle w:val="Link"/>
          </w:rPr>
          <w:t xml:space="preserve">https://mccaa.org.mt/Section/Content?contentId=1242</w:t>
        </w:r>
      </w:hyperlink>
      <w:br/>
      <w:r>
        <w:rPr>
          <w:rFonts w:ascii="Arial" w:hAnsi="Arial" w:eastAsia="Arial" w:cs="Arial"/>
          <w:color w:val="#000000"/>
          <w:sz w:val="22"/>
          <w:szCs w:val="22"/>
        </w:rPr>
        <w:t xml:space="preserve">Accessibility For All in the Built Environment Standards - Text</w:t>
      </w:r>
      <w:br/>
      <w:hyperlink r:id="rId37" w:history="1">
        <w:r>
          <w:rPr>
            <w:rStyle w:val="Link"/>
          </w:rPr>
          <w:t xml:space="preserve">https://parlament.mt/media/78993/05294.pdf</w:t>
        </w:r>
      </w:hyperlink>
      <w:br/>
    </w:p>
    <w:p>
      <w:pPr>
        <w:pStyle w:val="Heading4"/>
      </w:pPr>
      <w:bookmarkStart w:id="22" w:name="_Toc22"/>
      <w:r>
        <w:t>C3. ICT and Web accessibility</w:t>
      </w:r>
      <w:bookmarkEnd w:id="22"/>
    </w:p>
    <w:p>
      <w:pPr/>
    </w:p>
    <w:p>
      <w:pPr>
        <w:spacing w:before="120" w:after="240"/>
      </w:pPr>
      <w:r>
        <w:rPr>
          <w:rFonts w:ascii="Arial" w:hAnsi="Arial" w:eastAsia="Arial" w:cs="Arial"/>
          <w:color w:val="#000000"/>
          <w:sz w:val="22"/>
          <w:szCs w:val="22"/>
        </w:rPr>
        <w:t xml:space="preserve">In Malta, ICT solutions and websites in particular must conform to international ICT accessibility standards. Government websites and commercial websites are audited and certified by the Foundation for Information Technology Accessibility (FITA), which also assists service providers in ensuring that their ICT products are accessible to disabled persons in Malta and Gozo (Malta's sister island). FITA also provides consultancy services and training on the effective use and procurement of accessible ICT solutions, courses in the use of ICT for disabled people, especially the use of screen-reader software for people with visual impairments, and courses for people with intellectual disability. In 2012, FITA launched the Maltese Speech Engine which now provides increased accessibility for persons with visual impairment as they can also read computer-based texts in Maltese. Malta has not signed and/or ratified the Marrakesh Treaty to Facilitate Access to Published Works for Persons Who Are Blind, Visually Impaired or Otherwise Print Disabled.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Foundation for Information Technology Accessibility</w:t>
      </w:r>
      <w:br/>
      <w:hyperlink r:id="rId38" w:history="1">
        <w:r>
          <w:rPr>
            <w:rStyle w:val="Link"/>
          </w:rPr>
          <w:t xml:space="preserve">http://www.fitamalta.eu/</w:t>
        </w:r>
      </w:hyperlink>
      <w:br/>
      <w:r>
        <w:rPr>
          <w:rFonts w:ascii="Arial" w:hAnsi="Arial" w:eastAsia="Arial" w:cs="Arial"/>
          <w:color w:val="#000000"/>
          <w:sz w:val="22"/>
          <w:szCs w:val="22"/>
        </w:rPr>
        <w:t xml:space="preserve">Marrakesh Treaty Contracting Parties</w:t>
      </w:r>
      <w:br/>
      <w:hyperlink r:id="rId39" w:history="1">
        <w:r>
          <w:rPr>
            <w:rStyle w:val="Link"/>
          </w:rPr>
          <w:t xml:space="preserve">http://www.wipo.int/treaties/en/ShowResults.jsp?lang=en&amp;treaty_id=843</w:t>
        </w:r>
      </w:hyperlink>
      <w:br/>
    </w:p>
    <w:p>
      <w:pPr>
        <w:pStyle w:val="Heading3"/>
      </w:pPr>
      <w:bookmarkStart w:id="23" w:name="_Toc23"/>
      <w:r>
        <w:t>D. Independent living</w:t>
      </w:r>
      <w:bookmarkEnd w:id="23"/>
    </w:p>
    <w:p>
      <w:pPr>
        <w:pStyle w:val="Heading4"/>
      </w:pPr>
      <w:bookmarkStart w:id="24" w:name="_Toc24"/>
      <w:r>
        <w:t>D1. Choice of living arrangements</w:t>
      </w:r>
      <w:bookmarkEnd w:id="24"/>
    </w:p>
    <w:p>
      <w:pPr/>
    </w:p>
    <w:p>
      <w:pPr>
        <w:spacing w:before="120" w:after="240"/>
      </w:pPr>
      <w:r>
        <w:rPr>
          <w:rFonts w:ascii="Arial" w:hAnsi="Arial" w:eastAsia="Arial" w:cs="Arial"/>
          <w:color w:val="#000000"/>
          <w:sz w:val="22"/>
          <w:szCs w:val="22"/>
        </w:rPr>
        <w:t xml:space="preserve">Disabled people in Malta are free to choose where they want to live although these choices are often predicated on other factors such as availability of community support services and residential services. It is often assumed that disabled people will live with their family and move to a residential setting if a place becomes available. It is often the service providers and parents who decide on the living choices of the disabled person. The Housing Authority (HA) assists disabled people to make changes to their homes so that they are more accessible, although the options can be limited. In Malta, there are no large-scale institutions, although an institutional approach can occur even in small community-based residential institutions. Furthermore, the REACH Project currently being implemented by Aġenzija Sapport consists of a residential and transitional setting for disabled people - community homes in one area rather than in different communities. 
</w:t>
      </w:r>
    </w:p>
    <w:p>
      <w:pPr>
        <w:spacing w:before="120" w:after="240"/>
      </w:pPr>
      <w:r>
        <w:rPr>
          <w:rFonts w:ascii="Arial" w:hAnsi="Arial" w:eastAsia="Arial" w:cs="Arial"/>
          <w:color w:val="#000000"/>
          <w:sz w:val="22"/>
          <w:szCs w:val="22"/>
        </w:rPr>
        <w:t xml:space="preserve">Research has also shown that individuals may be institutionalised in places such as Mount Carmel Hospital (a mental health institution) or St Vincent De Paule (an old people's home) or in community group homes that do not offer scope for choice and self-determination. A significant number of residents at Mount Carmel Hospital do not require hospitalisation and are there as a last resort. The Mental Health Act specifies a list of cases where a person may be admitted involuntarily, including having a severe mental disorder and when there is serious risk of physical harm to that person or others due to the mental disorder (although in the latter case, as an emergency, a reasonable suspicion of severe mental disorder suffices for involuntary admission). Furthermore, if a person is found 'legally insane' at the time of a criminal offense, they are kept in custody in a hospital, even if they are 'sane' at the time of criminal proceedings.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Malta Housing Authority</w:t>
      </w:r>
      <w:br/>
      <w:hyperlink r:id="rId40" w:history="1">
        <w:r>
          <w:rPr>
            <w:rStyle w:val="Link"/>
          </w:rPr>
          <w:t xml:space="preserve">http://www.housingauthority.gov.mt</w:t>
        </w:r>
      </w:hyperlink>
      <w:br/>
      <w:r>
        <w:rPr>
          <w:rFonts w:ascii="Arial" w:hAnsi="Arial" w:eastAsia="Arial" w:cs="Arial"/>
          <w:color w:val="#000000"/>
          <w:sz w:val="22"/>
          <w:szCs w:val="22"/>
        </w:rPr>
        <w:t xml:space="preserve">The Economic Dimensions of independent supported living for people with disability in Malta</w:t>
      </w:r>
      <w:br/>
      <w:hyperlink r:id="rId41" w:history="1">
        <w:r>
          <w:rPr>
            <w:rStyle w:val="Link"/>
          </w:rPr>
          <w:t xml:space="preserve">http://crpd.org.mt/wp-content/uploads/2016/04/004-The-Economic-Dimensions-of-Independent-Supported-Living.pdf</w:t>
        </w:r>
      </w:hyperlink>
      <w:br/>
      <w:r>
        <w:rPr>
          <w:rFonts w:ascii="Arial" w:hAnsi="Arial" w:eastAsia="Arial" w:cs="Arial"/>
          <w:color w:val="#000000"/>
          <w:sz w:val="22"/>
          <w:szCs w:val="22"/>
        </w:rPr>
        <w:t xml:space="preserve">National Audit Office Performance Audit of Mount Carmel Hospital</w:t>
      </w:r>
      <w:br/>
      <w:hyperlink r:id="rId42" w:history="1">
        <w:r>
          <w:rPr>
            <w:rStyle w:val="Link"/>
          </w:rPr>
          <w:t xml:space="preserve">http://nao.gov.mt/loadfile/b1adb86a-4ab4-49ac-95cf-534dc99c741c</w:t>
        </w:r>
      </w:hyperlink>
      <w:br/>
      <w:r>
        <w:rPr>
          <w:rFonts w:ascii="Arial" w:hAnsi="Arial" w:eastAsia="Arial" w:cs="Arial"/>
          <w:color w:val="#000000"/>
          <w:sz w:val="22"/>
          <w:szCs w:val="22"/>
        </w:rPr>
        <w:t xml:space="preserve">Mental Health Act </w:t>
      </w:r>
      <w:br/>
      <w:hyperlink r:id="rId43" w:history="1">
        <w:r>
          <w:rPr>
            <w:rStyle w:val="Link"/>
          </w:rPr>
          <w:t xml:space="preserve">http://www.justiceservices.gov.mt/DownloadDocument.aspx?app=lom&amp;itemid=11962&amp;l=1</w:t>
        </w:r>
      </w:hyperlink>
      <w:br/>
      <w:r>
        <w:rPr>
          <w:rFonts w:ascii="Arial" w:hAnsi="Arial" w:eastAsia="Arial" w:cs="Arial"/>
          <w:color w:val="#000000"/>
          <w:sz w:val="22"/>
          <w:szCs w:val="22"/>
        </w:rPr>
        <w:t xml:space="preserve">Research and documents about independent supported living in Malta</w:t>
      </w:r>
      <w:br/>
      <w:hyperlink r:id="rId44" w:history="1">
        <w:r>
          <w:rPr>
            <w:rStyle w:val="Link"/>
          </w:rPr>
          <w:t xml:space="preserve">http://crpd.org.mt/wp-content/uploads/2016/04/001-indsupliv2011rpt.pdf</w:t>
        </w:r>
      </w:hyperlink>
      <w:br/>
    </w:p>
    <w:p>
      <w:pPr>
        <w:pStyle w:val="Heading4"/>
      </w:pPr>
      <w:bookmarkStart w:id="25" w:name="_Toc25"/>
      <w:r>
        <w:t>D2. De-institutionalisation</w:t>
      </w:r>
      <w:bookmarkEnd w:id="25"/>
    </w:p>
    <w:p>
      <w:pPr/>
    </w:p>
    <w:p>
      <w:pPr>
        <w:spacing w:before="120" w:after="240"/>
      </w:pPr>
      <w:r>
        <w:rPr>
          <w:rFonts w:ascii="Arial" w:hAnsi="Arial" w:eastAsia="Arial" w:cs="Arial"/>
          <w:color w:val="#000000"/>
          <w:sz w:val="22"/>
          <w:szCs w:val="22"/>
        </w:rPr>
        <w:t xml:space="preserve">'Aġenzija Sapport', the state agency that provides home-based as well as residential services, is moving disabled people from institutions, especially from Mount Carmel - the mental health hospital - to community-based homes. The community-based services provided by the same agency are aimed at preventing institutionalisation, especially for those clients with high support needs. Aġenzija Sapport also runs various schemes and funds offering personal assistance and financial support to enable disabled people to live independently within the community. 
</w:t>
      </w:r>
    </w:p>
    <w:p>
      <w:pPr>
        <w:spacing w:before="120" w:after="240"/>
      </w:pPr>
      <w:r>
        <w:rPr>
          <w:rFonts w:ascii="Arial" w:hAnsi="Arial" w:eastAsia="Arial" w:cs="Arial"/>
          <w:color w:val="#000000"/>
          <w:sz w:val="22"/>
          <w:szCs w:val="22"/>
        </w:rPr>
        <w:t xml:space="preserve">The Dar tal-Providenza is also a large residential institution, with around 100 persons. Although some changes are being carried out, with residents now encouraged to develop autonomy, it remains a large institution located away from the community. However, more significantly, it has opened a number of small community-based homes for disabled people, thus moving away from the notion of institutionalisation. The Dar tal-Providenza was the first residence catering for disabled people in Malta and is run and maintained by the Roman Catholic Church. Over the years, a number of NGOs have run group homes within the community.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Agenzija Sapport </w:t>
      </w:r>
      <w:br/>
      <w:hyperlink r:id="rId45" w:history="1">
        <w:r>
          <w:rPr>
            <w:rStyle w:val="Link"/>
          </w:rPr>
          <w:t xml:space="preserve">http://www.sapport.gov.mt/</w:t>
        </w:r>
      </w:hyperlink>
      <w:br/>
      <w:r>
        <w:rPr>
          <w:rFonts w:ascii="Arial" w:hAnsi="Arial" w:eastAsia="Arial" w:cs="Arial"/>
          <w:color w:val="#000000"/>
          <w:sz w:val="22"/>
          <w:szCs w:val="22"/>
        </w:rPr>
        <w:t xml:space="preserve">Id-Dar tal-Providenza </w:t>
      </w:r>
      <w:br/>
      <w:hyperlink r:id="rId46" w:history="1">
        <w:r>
          <w:rPr>
            <w:rStyle w:val="Link"/>
          </w:rPr>
          <w:t xml:space="preserve">http://www.dartalprovidenza.org</w:t>
        </w:r>
      </w:hyperlink>
      <w:br/>
    </w:p>
    <w:p>
      <w:pPr>
        <w:pStyle w:val="Heading4"/>
      </w:pPr>
      <w:bookmarkStart w:id="26" w:name="_Toc26"/>
      <w:r>
        <w:t>D3. Quality of social services</w:t>
      </w:r>
      <w:bookmarkEnd w:id="26"/>
    </w:p>
    <w:p>
      <w:pPr/>
    </w:p>
    <w:p>
      <w:pPr>
        <w:spacing w:before="120" w:after="240"/>
      </w:pPr>
      <w:r>
        <w:rPr>
          <w:rFonts w:ascii="Arial" w:hAnsi="Arial" w:eastAsia="Arial" w:cs="Arial"/>
          <w:color w:val="#000000"/>
          <w:sz w:val="22"/>
          <w:szCs w:val="22"/>
        </w:rPr>
        <w:t xml:space="preserve">There is no specific legal mechanism to receive complaints and reports related to the services of residential or institutional care. While the state agency Agenzija Sapport performs an internal assessment of complaints and service quality, there is serious lack of regulation in residential services offered to disabled people. The Commission for the Rights of Persons with Disability is empowered, through the Equal Opportunities (Persons with Disability) Act, to investigate cases of complaints related to services for disabled people. 
</w:t>
      </w:r>
    </w:p>
    <w:p>
      <w:pPr>
        <w:spacing w:before="120" w:after="240"/>
      </w:pPr>
      <w:r>
        <w:rPr>
          <w:rFonts w:ascii="Arial" w:hAnsi="Arial" w:eastAsia="Arial" w:cs="Arial"/>
          <w:color w:val="#000000"/>
          <w:sz w:val="22"/>
          <w:szCs w:val="22"/>
        </w:rPr>
        <w:t xml:space="preserve">In 2014, the National Standards for Residential Services for Persons with Disabilities (see Additional links below) were published by the Department for Social Welfare Standards and the Malta Competition and Consumer Affairs Authority. However, there has been no work related to the enforcement of these standards.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Agenzija Sapport </w:t>
      </w:r>
      <w:br/>
      <w:hyperlink r:id="rId45" w:history="1">
        <w:r>
          <w:rPr>
            <w:rStyle w:val="Link"/>
          </w:rPr>
          <w:t xml:space="preserve">http://www.sapport.gov.mt/</w:t>
        </w:r>
      </w:hyperlink>
      <w:br/>
      <w:r>
        <w:rPr>
          <w:rFonts w:ascii="Arial" w:hAnsi="Arial" w:eastAsia="Arial" w:cs="Arial"/>
          <w:color w:val="#000000"/>
          <w:sz w:val="22"/>
          <w:szCs w:val="22"/>
        </w:rPr>
        <w:t xml:space="preserve">Equal Opportunities (Persons with Disability) Act (Chapter 413)</w:t>
      </w:r>
      <w:br/>
      <w:hyperlink r:id="rId34" w:history="1">
        <w:r>
          <w:rPr>
            <w:rStyle w:val="Link"/>
          </w:rPr>
          <w:t xml:space="preserve">http://www.justiceservices.gov.mt/downloaddocument.aspx?app=lom&amp;itemid=8879</w:t>
        </w:r>
      </w:hyperlink>
      <w:br/>
      <w:r>
        <w:rPr>
          <w:rFonts w:ascii="Arial" w:hAnsi="Arial" w:eastAsia="Arial" w:cs="Arial"/>
          <w:color w:val="#000000"/>
          <w:sz w:val="22"/>
          <w:szCs w:val="22"/>
        </w:rPr>
        <w:t xml:space="preserve">National Standards for Residential Services for Persons with Disability</w:t>
      </w:r>
      <w:br/>
      <w:hyperlink r:id="rId47" w:history="1">
        <w:r>
          <w:rPr>
            <w:rStyle w:val="Link"/>
          </w:rPr>
          <w:t xml:space="preserve">http://www.activeageing.gov.mt/en/Documents/english.pdf</w:t>
        </w:r>
      </w:hyperlink>
      <w:br/>
    </w:p>
    <w:p>
      <w:pPr>
        <w:pStyle w:val="Heading4"/>
      </w:pPr>
      <w:bookmarkStart w:id="27" w:name="_Toc27"/>
      <w:r>
        <w:t>D4. Provision of assistive devices at home</w:t>
      </w:r>
      <w:bookmarkEnd w:id="27"/>
    </w:p>
    <w:p>
      <w:pPr/>
    </w:p>
    <w:p>
      <w:pPr>
        <w:spacing w:before="120" w:after="240"/>
      </w:pPr>
      <w:r>
        <w:rPr>
          <w:rFonts w:ascii="Arial" w:hAnsi="Arial" w:eastAsia="Arial" w:cs="Arial"/>
          <w:color w:val="#000000"/>
          <w:sz w:val="22"/>
          <w:szCs w:val="22"/>
        </w:rPr>
        <w:t xml:space="preserve">The Grant on Purchase of Specialised equipment is offered by Agenzija Sapport. It offers disabled people the opportunity to benefit from financial assistance and tax refund on assistive equipment. 
</w:t>
      </w:r>
    </w:p>
    <w:p>
      <w:pPr>
        <w:spacing w:before="120" w:after="240"/>
      </w:pPr>
      <w:r>
        <w:rPr>
          <w:rFonts w:ascii="Arial" w:hAnsi="Arial" w:eastAsia="Arial" w:cs="Arial"/>
          <w:color w:val="#000000"/>
          <w:sz w:val="22"/>
          <w:szCs w:val="22"/>
        </w:rPr>
        <w:t xml:space="preserve">The Malta Community Chest Fund Foundation (MCCF), a fund that operates under the patronage of the President of Malta, also assists disabled people in covering parts of the expenses for the purchase of assistive apparatus, including wheelchairs, screen readers, hearing aids and walking aids. Disabled people may benefit from financial assistance depending on their particular circumstances and the degree of need. In addition, the opening of the Sonia Tanti Independent Living Centre in 2011 now enables disabled people to receive advice and assessments regarding the assistive equipment that best suits their needs. It also provides a customized wheelchair service and driving assessment and driving lessons on modified vehicles. There is no specific legislation in this regard.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Grant on Purchase of Specialised Equipment</w:t>
      </w:r>
      <w:br/>
      <w:hyperlink r:id="rId48" w:history="1">
        <w:r>
          <w:rPr>
            <w:rStyle w:val="Link"/>
          </w:rPr>
          <w:t xml:space="preserve">https://sapport.gov.mt/en/Pages/Grant-on-Purchase-of-Specialised-Equipment.aspx</w:t>
        </w:r>
      </w:hyperlink>
      <w:br/>
      <w:r>
        <w:rPr>
          <w:rFonts w:ascii="Arial" w:hAnsi="Arial" w:eastAsia="Arial" w:cs="Arial"/>
          <w:color w:val="#000000"/>
          <w:sz w:val="22"/>
          <w:szCs w:val="22"/>
        </w:rPr>
        <w:t xml:space="preserve">Malta Community Chest Fund Foundation </w:t>
      </w:r>
      <w:br/>
      <w:hyperlink r:id="rId49" w:history="1">
        <w:r>
          <w:rPr>
            <w:rStyle w:val="Link"/>
          </w:rPr>
          <w:t xml:space="preserve">https://www.mccff.org.mt</w:t>
        </w:r>
      </w:hyperlink>
      <w:br/>
      <w:r>
        <w:rPr>
          <w:rFonts w:ascii="Arial" w:hAnsi="Arial" w:eastAsia="Arial" w:cs="Arial"/>
          <w:color w:val="#000000"/>
          <w:sz w:val="22"/>
          <w:szCs w:val="22"/>
        </w:rPr>
        <w:t xml:space="preserve">Sonia Tanti Independent Living Centre </w:t>
      </w:r>
      <w:br/>
      <w:hyperlink r:id="rId50" w:history="1">
        <w:r>
          <w:rPr>
            <w:rStyle w:val="Link"/>
          </w:rPr>
          <w:t xml:space="preserve">https://crpd.org.mt/services/sonia-tanti-independent-living-center/</w:t>
        </w:r>
      </w:hyperlink>
      <w:br/>
    </w:p>
    <w:p>
      <w:pPr>
        <w:pStyle w:val="Heading4"/>
      </w:pPr>
      <w:bookmarkStart w:id="28" w:name="_Toc28"/>
      <w:r>
        <w:t>D5. Availability of personal assistance schemes</w:t>
      </w:r>
      <w:bookmarkEnd w:id="28"/>
    </w:p>
    <w:p>
      <w:pPr/>
    </w:p>
    <w:p>
      <w:pPr>
        <w:spacing w:before="120" w:after="240"/>
      </w:pPr>
      <w:r>
        <w:rPr>
          <w:rFonts w:ascii="Arial" w:hAnsi="Arial" w:eastAsia="Arial" w:cs="Arial"/>
          <w:color w:val="#000000"/>
          <w:sz w:val="22"/>
          <w:szCs w:val="22"/>
        </w:rPr>
        <w:t xml:space="preserve">There is no official law or policy regarding the provision of personal assistance. However, the state has adopted a strategy to implement personal assistance services that provide disabled people with support rather than care, so that they would be able to achieve full independence to their maximum potential, to continue living within the community and to receive support when required. The state agency Agenzija Sapport was set up specifically for this reason. The services provided are based on a social model view of disability and emphasise the principle of a person-centred planning that takes into account particular situation of each client. In 2017, the Personal Assistance Fund was established, which subsidises the cost of carers for adults who need more than 30 hours weekly of ongoing personal assistance. Other funds and financial packages managed by the same agency enable disabled persons to select their own carers, or to be provided with support. However, assistance is still provided on a case-by-case basis depending on personal needs and other considerations. Given the high demand for such services and limited human resources, there is the need for more services including personal assistance.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Agenzija Sapport </w:t>
      </w:r>
      <w:br/>
      <w:hyperlink r:id="rId45" w:history="1">
        <w:r>
          <w:rPr>
            <w:rStyle w:val="Link"/>
          </w:rPr>
          <w:t xml:space="preserve">http://www.sapport.gov.mt/</w:t>
        </w:r>
      </w:hyperlink>
      <w:br/>
    </w:p>
    <w:p>
      <w:pPr>
        <w:pStyle w:val="Heading4"/>
      </w:pPr>
      <w:bookmarkStart w:id="29" w:name="_Toc29"/>
      <w:r>
        <w:t>D6. Income maintenance</w:t>
      </w:r>
      <w:bookmarkEnd w:id="29"/>
    </w:p>
    <w:p>
      <w:pPr/>
    </w:p>
    <w:p>
      <w:pPr>
        <w:spacing w:before="120" w:after="240"/>
      </w:pPr>
      <w:r>
        <w:rPr>
          <w:rFonts w:ascii="Arial" w:hAnsi="Arial" w:eastAsia="Arial" w:cs="Arial"/>
          <w:color w:val="#000000"/>
          <w:sz w:val="22"/>
          <w:szCs w:val="22"/>
        </w:rPr>
        <w:t xml:space="preserve">A non-contributory disability pension is awarded to disabled people over the age of 14 or 16 (people with a visual impairment are entitled to the pension when they reach 14 years of age). The disability pension, which is roughly equivalent to 55% of the national minimum wage, does not provide sufficient financial assistance to live independently. The disability pension assumes that the person cannot work; but according to a Budget 2015 measure a recent concession was made to allow disabled people to work and still to receive a disability pension even if they earn more than the minimum wage. The Budget 2017 then introduced three tiers of disability pension.
</w:t>
      </w:r>
    </w:p>
    <w:p>
      <w:pPr>
        <w:spacing w:before="120" w:after="240"/>
      </w:pPr>
      <w:r>
        <w:rPr>
          <w:rFonts w:ascii="Arial" w:hAnsi="Arial" w:eastAsia="Arial" w:cs="Arial"/>
          <w:color w:val="#000000"/>
          <w:sz w:val="22"/>
          <w:szCs w:val="22"/>
        </w:rPr>
        <w:t xml:space="preserve">Currently, there are four categories of disability pensions:
</w:t>
      </w:r>
    </w:p>
    <w:p>
      <w:pPr>
        <w:spacing w:before="120" w:after="240"/>
      </w:pPr>
      <w:r>
        <w:rPr>
          <w:rFonts w:ascii="Arial" w:hAnsi="Arial" w:eastAsia="Arial" w:cs="Arial"/>
          <w:color w:val="#000000"/>
          <w:sz w:val="22"/>
          <w:szCs w:val="22"/>
        </w:rPr>
        <w:t xml:space="preserve"># Assistance for the Visually Impaired (BLD) awarded to persons aged 14 years and over who are completely or partially visually impaired. These persons can also be engaged in gainful occupation.
</w:t>
      </w:r>
    </w:p>
    <w:p>
      <w:pPr>
        <w:spacing w:before="120" w:after="240"/>
      </w:pPr>
      <w:r>
        <w:rPr>
          <w:rFonts w:ascii="Arial" w:hAnsi="Arial" w:eastAsia="Arial" w:cs="Arial"/>
          <w:color w:val="#000000"/>
          <w:sz w:val="22"/>
          <w:szCs w:val="22"/>
        </w:rPr>
        <w:t xml:space="preserve"># Disability Assistance (DA) given to persons over 16 years of age having total paralysis or permanent  total severe malfunction or permanent total disease whether through amputation or otherwise of one of the upper or lower limb. Persons eligible for this Assistance can also be engaged in a gainful occupation. 
</w:t>
      </w:r>
    </w:p>
    <w:p>
      <w:pPr>
        <w:spacing w:before="120" w:after="240"/>
      </w:pPr>
      <w:r>
        <w:rPr>
          <w:rFonts w:ascii="Arial" w:hAnsi="Arial" w:eastAsia="Arial" w:cs="Arial"/>
          <w:color w:val="#000000"/>
          <w:sz w:val="22"/>
          <w:szCs w:val="22"/>
        </w:rPr>
        <w:t xml:space="preserve"># Severe Disability Assistance (SDA) awarded to persons with a disability (as outlined in the Social Security Act) aged 16 years and over and who can be engaged in a gainful occupation. Applicants are not filtered according to their owned capital. However, any other income that is not part of the applicant’s main employment must not exceed the minimum wage. If this income does exceed the minimum wage, the difference by which it is exceeded is deducted from the awarded rate.
</w:t>
      </w:r>
    </w:p>
    <w:p>
      <w:pPr>
        <w:spacing w:before="120" w:after="240"/>
      </w:pPr>
      <w:r>
        <w:rPr>
          <w:rFonts w:ascii="Arial" w:hAnsi="Arial" w:eastAsia="Arial" w:cs="Arial"/>
          <w:color w:val="#000000"/>
          <w:sz w:val="22"/>
          <w:szCs w:val="22"/>
        </w:rPr>
        <w:t xml:space="preserve"># Increased Severe Disability Assistance (ISDA) awarded to those persons aged 16 years and over that are rated 0-8 on the Barthel Index and are absolutely unable to work. The Multi Disciplinary Board decides whether the case falls within the medical parameters and following the assessment of the Barthel Index. This assistance will be gradually increased to meet the minimum wage.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Social Security Act (Chapter 318)</w:t>
      </w:r>
      <w:br/>
      <w:hyperlink r:id="rId51" w:history="1">
        <w:r>
          <w:rPr>
            <w:rStyle w:val="Link"/>
          </w:rPr>
          <w:t xml:space="preserve">http://www.justiceservices.gov.mt/DownloadDocument.aspx?app=lom&amp;itemid=8794&amp;l=1</w:t>
        </w:r>
      </w:hyperlink>
      <w:br/>
      <w:r>
        <w:rPr>
          <w:rFonts w:ascii="Arial" w:hAnsi="Arial" w:eastAsia="Arial" w:cs="Arial"/>
          <w:color w:val="#000000"/>
          <w:sz w:val="22"/>
          <w:szCs w:val="22"/>
        </w:rPr>
        <w:t xml:space="preserve">Budget 2015 Document</w:t>
      </w:r>
      <w:br/>
      <w:hyperlink r:id="rId52" w:history="1">
        <w:r>
          <w:rPr>
            <w:rStyle w:val="Link"/>
          </w:rPr>
          <w:t xml:space="preserve">https://mfin.gov.mt/en/The-Budget/Documents/The_Budget_2015/Budget_Doc_2015.pdf</w:t>
        </w:r>
      </w:hyperlink>
      <w:br/>
      <w:r>
        <w:rPr>
          <w:rFonts w:ascii="Arial" w:hAnsi="Arial" w:eastAsia="Arial" w:cs="Arial"/>
          <w:color w:val="#000000"/>
          <w:sz w:val="22"/>
          <w:szCs w:val="22"/>
        </w:rPr>
        <w:t xml:space="preserve">Disability Assistances</w:t>
      </w:r>
      <w:br/>
      <w:hyperlink r:id="rId53" w:history="1">
        <w:r>
          <w:rPr>
            <w:rStyle w:val="Link"/>
          </w:rPr>
          <w:t xml:space="preserve">https://socialsecurity.gov.mt/en/Pensions/Pages/Non-Contributory-Disability-Pension.aspx</w:t>
        </w:r>
      </w:hyperlink>
      <w:br/>
      <w:r>
        <w:rPr>
          <w:rFonts w:ascii="Arial" w:hAnsi="Arial" w:eastAsia="Arial" w:cs="Arial"/>
          <w:color w:val="#000000"/>
          <w:sz w:val="22"/>
          <w:szCs w:val="22"/>
        </w:rPr>
        <w:t xml:space="preserve">Budget 2017 Document </w:t>
      </w:r>
      <w:br/>
      <w:hyperlink r:id="rId54" w:history="1">
        <w:r>
          <w:rPr>
            <w:rStyle w:val="Link"/>
          </w:rPr>
          <w:t xml:space="preserve">https://mfin.gov.mt/en/The-Budget/Pages/The-Budget-2017.aspx</w:t>
        </w:r>
      </w:hyperlink>
      <w:br/>
    </w:p>
    <w:p>
      <w:pPr>
        <w:pStyle w:val="Heading4"/>
      </w:pPr>
      <w:bookmarkStart w:id="30" w:name="_Toc30"/>
      <w:r>
        <w:t>D7. Additional costs</w:t>
      </w:r>
      <w:bookmarkEnd w:id="30"/>
    </w:p>
    <w:p>
      <w:pPr/>
    </w:p>
    <w:p>
      <w:pPr>
        <w:spacing w:before="120" w:after="240"/>
      </w:pPr>
      <w:r>
        <w:rPr>
          <w:rFonts w:ascii="Arial" w:hAnsi="Arial" w:eastAsia="Arial" w:cs="Arial"/>
          <w:color w:val="#000000"/>
          <w:sz w:val="22"/>
          <w:szCs w:val="22"/>
        </w:rPr>
        <w:t xml:space="preserve">Besides the disability pension, disabled people are not given additional income, but they are entitled to free or discounted use of particular goods and services available to the public, including free use of the Gozo Channel ferry service and educational and historical sites; provided they are in possession of a Special Identity (SID) card (now the EU Disability Card) issued by the Commission for the Rights of Persons with Disabilities. In addition, all disabled persons in possession of a SID issued by the CRPD are also entitled to a reduced fare for the use of public transport. The SID also aims to provide disabled people with certain benefits such as reduced costs on the purchase of goods or services to increase their participation and inclusion in mainstream society. 
</w:t>
      </w:r>
    </w:p>
    <w:p>
      <w:pPr>
        <w:spacing w:before="120" w:after="240"/>
      </w:pPr>
      <w:r>
        <w:rPr>
          <w:rFonts w:ascii="Arial" w:hAnsi="Arial" w:eastAsia="Arial" w:cs="Arial"/>
          <w:color w:val="#000000"/>
          <w:sz w:val="22"/>
          <w:szCs w:val="22"/>
        </w:rPr>
        <w:t xml:space="preserve">There are also a number of financial benefits provided to parents or carers of disabled people to compensate for additional costs associated with impairment, such as the disabled children’s allowance and the carers’ allowance. Disabled people who have worked and thus paid national insurance contributions and can no longer work are entitled to the invalidity benefit, which is means-tested. This benefit is usually given to workers who have developed a disability, because of an accident or illness in their adulthood. In the State Budget for 2019, the Minister of Finance announced that several of the above-mentioned benefits will be increased and that a new regulatory framework will introduce benefits (e.g. for the security forces working in the public sector) in case of a permanent disability which prohibits a person from working. 
</w:t>
      </w:r>
    </w:p>
    <w:p>
      <w:pPr>
        <w:spacing w:before="120" w:after="240"/>
      </w:pPr>
      <w:r>
        <w:rPr>
          <w:rFonts w:ascii="Arial" w:hAnsi="Arial" w:eastAsia="Arial" w:cs="Arial"/>
          <w:color w:val="#000000"/>
          <w:sz w:val="22"/>
          <w:szCs w:val="22"/>
        </w:rPr>
        <w:t xml:space="preserve">Furthermore, according to a measure stated in the State Budget 2015, disabled people who receive the disability pension can also work without a reduction in their disability pension. The State Budget 2017 announced that for persons receiving the disability pension ISDA, income arising from other benefits / pensions will no longer be considered in the assessment of eligibility for the Pink Card (entitling the person to free medication); while for persons receiving the disability pension SDA, income from employment will not be considered in the assessment of eligibility for the same Card. In addition, disabled persons can also apply for a duty tax refund when purchasing a car for their own use as well as a refund for the Road Tax on the same car.</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EU Disability Card </w:t>
      </w:r>
      <w:br/>
      <w:hyperlink r:id="rId55" w:history="1">
        <w:r>
          <w:rPr>
            <w:rStyle w:val="Link"/>
          </w:rPr>
          <w:t xml:space="preserve">https://www.eudisabilitycard.org.mt</w:t>
        </w:r>
      </w:hyperlink>
      <w:br/>
      <w:r>
        <w:rPr>
          <w:rFonts w:ascii="Arial" w:hAnsi="Arial" w:eastAsia="Arial" w:cs="Arial"/>
          <w:color w:val="#000000"/>
          <w:sz w:val="22"/>
          <w:szCs w:val="22"/>
        </w:rPr>
        <w:t xml:space="preserve">Social Security Act (Chapter 318)</w:t>
      </w:r>
      <w:br/>
      <w:hyperlink r:id="rId51" w:history="1">
        <w:r>
          <w:rPr>
            <w:rStyle w:val="Link"/>
          </w:rPr>
          <w:t xml:space="preserve">http://www.justiceservices.gov.mt/DownloadDocument.aspx?app=lom&amp;itemid=8794&amp;l=1</w:t>
        </w:r>
      </w:hyperlink>
      <w:br/>
      <w:r>
        <w:rPr>
          <w:rFonts w:ascii="Arial" w:hAnsi="Arial" w:eastAsia="Arial" w:cs="Arial"/>
          <w:color w:val="#000000"/>
          <w:sz w:val="22"/>
          <w:szCs w:val="22"/>
        </w:rPr>
        <w:t xml:space="preserve">State Budget 2015 Document</w:t>
      </w:r>
      <w:br/>
      <w:hyperlink r:id="rId56" w:history="1">
        <w:r>
          <w:rPr>
            <w:rStyle w:val="Link"/>
          </w:rPr>
          <w:t xml:space="preserve">https://mfin.gov.mt/en/The-Budget/Pages/The-Budget-2015.aspx</w:t>
        </w:r>
      </w:hyperlink>
      <w:br/>
      <w:r>
        <w:rPr>
          <w:rFonts w:ascii="Arial" w:hAnsi="Arial" w:eastAsia="Arial" w:cs="Arial"/>
          <w:color w:val="#000000"/>
          <w:sz w:val="22"/>
          <w:szCs w:val="22"/>
        </w:rPr>
        <w:t xml:space="preserve">State Budget 2017 Document </w:t>
      </w:r>
      <w:br/>
      <w:hyperlink r:id="rId54" w:history="1">
        <w:r>
          <w:rPr>
            <w:rStyle w:val="Link"/>
          </w:rPr>
          <w:t xml:space="preserve">https://mfin.gov.mt/en/The-Budget/Pages/The-Budget-2017.aspx</w:t>
        </w:r>
      </w:hyperlink>
      <w:br/>
      <w:r>
        <w:rPr>
          <w:rFonts w:ascii="Arial" w:hAnsi="Arial" w:eastAsia="Arial" w:cs="Arial"/>
          <w:color w:val="#000000"/>
          <w:sz w:val="22"/>
          <w:szCs w:val="22"/>
        </w:rPr>
        <w:t xml:space="preserve">State Budget 2019 Document </w:t>
      </w:r>
      <w:br/>
      <w:hyperlink r:id="rId57" w:history="1">
        <w:r>
          <w:rPr>
            <w:rStyle w:val="Link"/>
          </w:rPr>
          <w:t xml:space="preserve">https://mfin.gov.mt/en/The-Budget/Pages/The-Budget-2019-G5J3D1.aspx</w:t>
        </w:r>
      </w:hyperlink>
      <w:br/>
      <w:r>
        <w:rPr>
          <w:rFonts w:ascii="Arial" w:hAnsi="Arial" w:eastAsia="Arial" w:cs="Arial"/>
          <w:color w:val="#000000"/>
          <w:sz w:val="22"/>
          <w:szCs w:val="22"/>
        </w:rPr>
        <w:t xml:space="preserve">Pink Card (Schedule II) </w:t>
      </w:r>
      <w:br/>
      <w:hyperlink r:id="rId58" w:history="1">
        <w:r>
          <w:rPr>
            <w:rStyle w:val="Link"/>
          </w:rPr>
          <w:t xml:space="preserve">https://deputyprimeminister.gov.mt/en/poyc/Pages/360%C2%B0-One-Stop-Shop-Service-Concept/Introduction.aspx</w:t>
        </w:r>
      </w:hyperlink>
      <w:br/>
      <w:r>
        <w:rPr>
          <w:rFonts w:ascii="Arial" w:hAnsi="Arial" w:eastAsia="Arial" w:cs="Arial"/>
          <w:color w:val="#000000"/>
          <w:sz w:val="22"/>
          <w:szCs w:val="22"/>
        </w:rPr>
        <w:t xml:space="preserve">Exemption from Payment – Vehicle Road License and/or Registration Tax</w:t>
      </w:r>
      <w:br/>
      <w:hyperlink r:id="rId59" w:history="1">
        <w:r>
          <w:rPr>
            <w:rStyle w:val="Link"/>
          </w:rPr>
          <w:t xml:space="preserve">https://sapport.gov.mt/onlineforms/Pages/VehicleRoadLicenceOrTaxEN.aspx</w:t>
        </w:r>
      </w:hyperlink>
      <w:br/>
    </w:p>
    <w:p>
      <w:pPr>
        <w:pStyle w:val="Heading4"/>
      </w:pPr>
      <w:bookmarkStart w:id="31" w:name="_Toc31"/>
      <w:r>
        <w:t>D8. Retirement income</w:t>
      </w:r>
      <w:bookmarkEnd w:id="31"/>
    </w:p>
    <w:p>
      <w:pPr/>
    </w:p>
    <w:p>
      <w:pPr>
        <w:spacing w:before="120" w:after="240"/>
      </w:pPr>
      <w:r>
        <w:rPr>
          <w:rFonts w:ascii="Arial" w:hAnsi="Arial" w:eastAsia="Arial" w:cs="Arial"/>
          <w:color w:val="#000000"/>
          <w:sz w:val="22"/>
          <w:szCs w:val="22"/>
        </w:rPr>
        <w:t xml:space="preserve">The Social Security Act (Cap 318) establishes that the disability pension is a non-contributory pension awarded to individuals registered with the Department of Social Security as disabled persons assuming that the 'disability' is long term and that disabled people cannot work throughout their lives. In case a disabled person has worked and paid national insurance contributions, the disabled person is entitled to a contributory old age pension but forfeits the right to continue receiving the disability pension. People on invalidity benefit are entitled to a retirement pension.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Social Security Act (Chapter 318)</w:t>
      </w:r>
      <w:br/>
      <w:hyperlink r:id="rId51" w:history="1">
        <w:r>
          <w:rPr>
            <w:rStyle w:val="Link"/>
          </w:rPr>
          <w:t xml:space="preserve">http://www.justiceservices.gov.mt/DownloadDocument.aspx?app=lom&amp;itemid=8794&amp;l=1</w:t>
        </w:r>
      </w:hyperlink>
      <w:br/>
    </w:p>
    <w:p>
      <w:pPr>
        <w:pStyle w:val="Heading3"/>
      </w:pPr>
      <w:bookmarkStart w:id="32" w:name="_Toc32"/>
      <w:r>
        <w:t>E. Education</w:t>
      </w:r>
      <w:bookmarkEnd w:id="32"/>
    </w:p>
    <w:p>
      <w:pPr>
        <w:pStyle w:val="Heading4"/>
      </w:pPr>
      <w:bookmarkStart w:id="33" w:name="_Toc33"/>
      <w:r>
        <w:t>E1. Special schools</w:t>
      </w:r>
      <w:bookmarkEnd w:id="33"/>
    </w:p>
    <w:p>
      <w:pPr/>
    </w:p>
    <w:p>
      <w:pPr>
        <w:spacing w:before="120" w:after="240"/>
      </w:pPr>
      <w:r>
        <w:rPr>
          <w:rFonts w:ascii="Arial" w:hAnsi="Arial" w:eastAsia="Arial" w:cs="Arial"/>
          <w:color w:val="#000000"/>
          <w:sz w:val="22"/>
          <w:szCs w:val="22"/>
        </w:rPr>
        <w:t xml:space="preserve">Since the adoption of an Inclusive Education Policy in 2000, most disabled children in Malta now attend mainstream schools. They are provided with an individual education programme (IEP) and the support of a Learning Support Educator (LSE), formerly known as 'facilitators’ and then as Learning Support Assistants (LSAs). These developments have led to various questions about the success of inclusion and raised questions about the role of special schools, given the increase of disabled children within the mainstream. Consequently, this prompted a review of the entire inclusive and education system, which was carried out by experts in the field and through consultation with parents, NGOs and disabled people. A report containing a number of recommendations aimed to address the current problems with the system was issued in 2005. One of the recommendations was to change special schools into education resource centres providing services and assistance to disabled children during their mainstream education that cannot be provided in schools, thus prompting a revision of the functions of special schools. This reform was enacted in 2010. Some children attend an education resource centre, rather than a mainstream school. Parents retain the right to choose whether to send their child to an education resource centre or a mainstream school.</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Special Schools Reform</w:t>
      </w:r>
      <w:br/>
      <w:hyperlink r:id="rId60" w:history="1">
        <w:r>
          <w:rPr>
            <w:rStyle w:val="Link"/>
          </w:rPr>
          <w:t xml:space="preserve">https://education.gov.mt/en/resources/Documents/Policy%20Documents/Special_Schools_Reform_ENG.pdf</w:t>
        </w:r>
      </w:hyperlink>
      <w:br/>
      <w:r>
        <w:rPr>
          <w:rFonts w:ascii="Arial" w:hAnsi="Arial" w:eastAsia="Arial" w:cs="Arial"/>
          <w:color w:val="#000000"/>
          <w:sz w:val="22"/>
          <w:szCs w:val="22"/>
        </w:rPr>
        <w:t xml:space="preserve">Inclusive and Special Education Review</w:t>
      </w:r>
      <w:br/>
      <w:hyperlink r:id="rId61" w:history="1">
        <w:r>
          <w:rPr>
            <w:rStyle w:val="Link"/>
          </w:rPr>
          <w:t xml:space="preserve">https://education.gov.mt/en/resources/Documents/Policy%20Documents/inclusive%20and%20special%20education%20review.pdf</w:t>
        </w:r>
      </w:hyperlink>
      <w:br/>
      <w:r>
        <w:rPr>
          <w:rFonts w:ascii="Arial" w:hAnsi="Arial" w:eastAsia="Arial" w:cs="Arial"/>
          <w:color w:val="#000000"/>
          <w:sz w:val="22"/>
          <w:szCs w:val="22"/>
        </w:rPr>
        <w:t xml:space="preserve">Inclusive Education Policy</w:t>
      </w:r>
      <w:br/>
      <w:hyperlink r:id="rId62" w:history="1">
        <w:r>
          <w:rPr>
            <w:rStyle w:val="Link"/>
          </w:rPr>
          <w:t xml:space="preserve">https://education.gov.mt/en/education/student-services/Pages/Inclusive_Education/Statementing-Moderating-Panel.aspx</w:t>
        </w:r>
      </w:hyperlink>
      <w:br/>
      <w:r>
        <w:rPr>
          <w:rFonts w:ascii="Arial" w:hAnsi="Arial" w:eastAsia="Arial" w:cs="Arial"/>
          <w:color w:val="#000000"/>
          <w:sz w:val="22"/>
          <w:szCs w:val="22"/>
        </w:rPr>
        <w:t xml:space="preserve">Resource Centres</w:t>
      </w:r>
      <w:br/>
      <w:hyperlink r:id="rId63" w:history="1">
        <w:r>
          <w:rPr>
            <w:rStyle w:val="Link"/>
          </w:rPr>
          <w:t xml:space="preserve">https://education.gov.mt/en/education/student-services/Pages/Special_Education/Resource%20Centres/Resource-Centres.aspx</w:t>
        </w:r>
      </w:hyperlink>
      <w:br/>
    </w:p>
    <w:p>
      <w:pPr>
        <w:pStyle w:val="Heading4"/>
      </w:pPr>
      <w:bookmarkStart w:id="34" w:name="_Toc34"/>
      <w:r>
        <w:t>E2. Mainstream schools</w:t>
      </w:r>
      <w:bookmarkEnd w:id="34"/>
    </w:p>
    <w:p>
      <w:pPr/>
    </w:p>
    <w:p>
      <w:pPr>
        <w:spacing w:before="120" w:after="240"/>
      </w:pPr>
      <w:r>
        <w:rPr>
          <w:rFonts w:ascii="Arial" w:hAnsi="Arial" w:eastAsia="Arial" w:cs="Arial"/>
          <w:color w:val="#000000"/>
          <w:sz w:val="22"/>
          <w:szCs w:val="22"/>
        </w:rPr>
        <w:t xml:space="preserve">With the implementation of an Inclusive Education Policy in 2000, disabled children attend mainstream schooling. They are assessed by the Statementing Moderating Panel and provided with support according to their individual educational needs. Parents can appeal the decision of the Panel. Children who are statemented are provided with an Individual Educational Plan (IEP) that defines long-term goals and short-term action to realize their full potential. The IEP is implemented with the support of Learning Support Educators (LSEs) who support disabled children in the classroom. The costs of employing LSEs is subsidised by the government in state, religious and independent schools. In addition, with the reform of special schools in 2010, the newly-created education resource centres now provide specialised support and resources to disabled children attending mainstream schooling. The Equal Opportunities (Persons with Disability) Act safeguards the rights of disabled children against discrimination in education.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Inclusive Education Policy</w:t>
      </w:r>
      <w:br/>
      <w:hyperlink r:id="rId62" w:history="1">
        <w:r>
          <w:rPr>
            <w:rStyle w:val="Link"/>
          </w:rPr>
          <w:t xml:space="preserve">https://education.gov.mt/en/education/student-services/Pages/Inclusive_Education/Statementing-Moderating-Panel.aspx</w:t>
        </w:r>
      </w:hyperlink>
      <w:br/>
      <w:r>
        <w:rPr>
          <w:rFonts w:ascii="Arial" w:hAnsi="Arial" w:eastAsia="Arial" w:cs="Arial"/>
          <w:color w:val="#000000"/>
          <w:sz w:val="22"/>
          <w:szCs w:val="22"/>
        </w:rPr>
        <w:t xml:space="preserve">Equal Opportunities (Persons with Disability) Act (Chapter 413)</w:t>
      </w:r>
      <w:br/>
      <w:hyperlink r:id="rId18" w:history="1">
        <w:r>
          <w:rPr>
            <w:rStyle w:val="Link"/>
          </w:rPr>
          <w:t xml:space="preserve">http://www.justiceservices.gov.mt/downloaddocument.aspx?app=lom&amp;itemid=8879&amp;l=1</w:t>
        </w:r>
      </w:hyperlink>
      <w:br/>
      <w:r>
        <w:rPr>
          <w:rFonts w:ascii="Arial" w:hAnsi="Arial" w:eastAsia="Arial" w:cs="Arial"/>
          <w:color w:val="#000000"/>
          <w:sz w:val="22"/>
          <w:szCs w:val="22"/>
        </w:rPr>
        <w:t xml:space="preserve">Special Schools Reform</w:t>
      </w:r>
      <w:br/>
      <w:hyperlink r:id="rId60" w:history="1">
        <w:r>
          <w:rPr>
            <w:rStyle w:val="Link"/>
          </w:rPr>
          <w:t xml:space="preserve">https://education.gov.mt/en/resources/Documents/Policy%20Documents/Special_Schools_Reform_ENG.pdf</w:t>
        </w:r>
      </w:hyperlink>
      <w:br/>
      <w:r>
        <w:rPr>
          <w:rFonts w:ascii="Arial" w:hAnsi="Arial" w:eastAsia="Arial" w:cs="Arial"/>
          <w:color w:val="#000000"/>
          <w:sz w:val="22"/>
          <w:szCs w:val="22"/>
        </w:rPr>
        <w:t xml:space="preserve">National School Support Services</w:t>
      </w:r>
      <w:br/>
      <w:hyperlink r:id="rId64" w:history="1">
        <w:r>
          <w:rPr>
            <w:rStyle w:val="Link"/>
          </w:rPr>
          <w:t xml:space="preserve">https://education.gov.mt/en/education/student-services/Pages/default.aspx</w:t>
        </w:r>
      </w:hyperlink>
      <w:br/>
    </w:p>
    <w:p>
      <w:pPr>
        <w:pStyle w:val="Heading4"/>
      </w:pPr>
      <w:bookmarkStart w:id="35" w:name="_Toc35"/>
      <w:r>
        <w:t>E3. Sign language and Braille in school</w:t>
      </w:r>
      <w:bookmarkEnd w:id="35"/>
    </w:p>
    <w:p>
      <w:pPr/>
    </w:p>
    <w:p>
      <w:pPr>
        <w:spacing w:before="120" w:after="240"/>
      </w:pPr>
      <w:r>
        <w:rPr>
          <w:rFonts w:ascii="Arial" w:hAnsi="Arial" w:eastAsia="Arial" w:cs="Arial"/>
          <w:color w:val="#000000"/>
          <w:sz w:val="22"/>
          <w:szCs w:val="22"/>
        </w:rPr>
        <w:t xml:space="preserve">The rights of disabled children against discrimination are safeguarded by the Equal Opportunities Act. Legislation does not make specific reference to the right to learn sign language or Braille. Maltese sign language interpreters are provided for Deaf children whose parents request the service. However, there are limitations in the quantity of hours provided because of restricted resources. Blind children are taught Braille.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Equal Opportunities (Persons with Disability) Act (Chapter 413) </w:t>
      </w:r>
      <w:br/>
      <w:hyperlink r:id="rId18" w:history="1">
        <w:r>
          <w:rPr>
            <w:rStyle w:val="Link"/>
          </w:rPr>
          <w:t xml:space="preserve">http://www.justiceservices.gov.mt/downloaddocument.aspx?app=lom&amp;itemid=8879&amp;l=1</w:t>
        </w:r>
      </w:hyperlink>
      <w:br/>
    </w:p>
    <w:p>
      <w:pPr>
        <w:pStyle w:val="Heading4"/>
      </w:pPr>
      <w:bookmarkStart w:id="36" w:name="_Toc36"/>
      <w:r>
        <w:t>E4. Vocational training</w:t>
      </w:r>
      <w:bookmarkEnd w:id="36"/>
    </w:p>
    <w:p>
      <w:pPr/>
    </w:p>
    <w:p>
      <w:pPr>
        <w:spacing w:before="120" w:after="240"/>
      </w:pPr>
      <w:r>
        <w:rPr>
          <w:rFonts w:ascii="Arial" w:hAnsi="Arial" w:eastAsia="Arial" w:cs="Arial"/>
          <w:color w:val="#000000"/>
          <w:sz w:val="22"/>
          <w:szCs w:val="22"/>
        </w:rPr>
        <w:t xml:space="preserve">The right to education can be found in the Equal Opportunities Act and both private and public educational institutions providing vocational training must take into account the requirements of disabled people. The right of disabled people to vocational training and education is also found in the Constitution of Malta. The main provider of vocational training is the state-funded Malta College of Arts, Science &amp; Technology (MCAST), which implements an inclusive policy. Physical accessibility on its campus has increased and the new campus that is being built has been planned in conformity with the Access for All Design Guidelines. The Learning Support Unit provides support for students with learning difficulties and the Pathway to Independence course provides vocational education training for students with intellectual disability. In 2012, the Institute of Tourism Studies launched a corresponding course focusing on Key Skills in the Hospitality Sector. Short courses organised by 'Jobsplus' - the government's employment and training corporation - are also available for disabled people.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Jobsplus</w:t>
      </w:r>
      <w:br/>
      <w:hyperlink r:id="rId65" w:history="1">
        <w:r>
          <w:rPr>
            <w:rStyle w:val="Link"/>
          </w:rPr>
          <w:t xml:space="preserve">https://jobsplus.gov.mt</w:t>
        </w:r>
      </w:hyperlink>
      <w:br/>
      <w:r>
        <w:rPr>
          <w:rFonts w:ascii="Arial" w:hAnsi="Arial" w:eastAsia="Arial" w:cs="Arial"/>
          <w:color w:val="#000000"/>
          <w:sz w:val="22"/>
          <w:szCs w:val="22"/>
        </w:rPr>
        <w:t xml:space="preserve">The Institute of Tourism Studies</w:t>
      </w:r>
      <w:br/>
      <w:hyperlink r:id="rId66" w:history="1">
        <w:r>
          <w:rPr>
            <w:rStyle w:val="Link"/>
          </w:rPr>
          <w:t xml:space="preserve">https://its.edu.mt/</w:t>
        </w:r>
      </w:hyperlink>
      <w:br/>
      <w:r>
        <w:rPr>
          <w:rFonts w:ascii="Arial" w:hAnsi="Arial" w:eastAsia="Arial" w:cs="Arial"/>
          <w:color w:val="#000000"/>
          <w:sz w:val="22"/>
          <w:szCs w:val="22"/>
        </w:rPr>
        <w:t xml:space="preserve">Malta College of Arts, Science &amp; Technology</w:t>
      </w:r>
      <w:br/>
      <w:hyperlink r:id="rId67" w:history="1">
        <w:r>
          <w:rPr>
            <w:rStyle w:val="Link"/>
          </w:rPr>
          <w:t xml:space="preserve">http://www.mcast.edu.mt/</w:t>
        </w:r>
      </w:hyperlink>
      <w:br/>
      <w:r>
        <w:rPr>
          <w:rFonts w:ascii="Arial" w:hAnsi="Arial" w:eastAsia="Arial" w:cs="Arial"/>
          <w:color w:val="#000000"/>
          <w:sz w:val="22"/>
          <w:szCs w:val="22"/>
        </w:rPr>
        <w:t xml:space="preserve">The Constitution of Malta</w:t>
      </w:r>
      <w:br/>
      <w:hyperlink r:id="rId68" w:history="1">
        <w:r>
          <w:rPr>
            <w:rStyle w:val="Link"/>
          </w:rPr>
          <w:t xml:space="preserve">http://justiceservices.gov.mt/downloaddocument.aspx?app=lom&amp;itemid=8566</w:t>
        </w:r>
      </w:hyperlink>
      <w:br/>
      <w:r>
        <w:rPr>
          <w:rFonts w:ascii="Arial" w:hAnsi="Arial" w:eastAsia="Arial" w:cs="Arial"/>
          <w:color w:val="#000000"/>
          <w:sz w:val="22"/>
          <w:szCs w:val="22"/>
        </w:rPr>
        <w:t xml:space="preserve">Equal Opportunities (Persons with Disability) Act (Chapter 413)</w:t>
      </w:r>
      <w:br/>
      <w:hyperlink r:id="rId34" w:history="1">
        <w:r>
          <w:rPr>
            <w:rStyle w:val="Link"/>
          </w:rPr>
          <w:t xml:space="preserve">http://www.justiceservices.gov.mt/downloaddocument.aspx?app=lom&amp;itemid=8879</w:t>
        </w:r>
      </w:hyperlink>
      <w:br/>
    </w:p>
    <w:p>
      <w:pPr>
        <w:pStyle w:val="Heading4"/>
      </w:pPr>
      <w:bookmarkStart w:id="37" w:name="_Toc37"/>
      <w:r>
        <w:t>E5. Higher education</w:t>
      </w:r>
      <w:bookmarkEnd w:id="37"/>
    </w:p>
    <w:p>
      <w:pPr/>
    </w:p>
    <w:p>
      <w:pPr>
        <w:spacing w:before="120" w:after="240"/>
      </w:pPr>
      <w:r>
        <w:rPr>
          <w:rFonts w:ascii="Arial" w:hAnsi="Arial" w:eastAsia="Arial" w:cs="Arial"/>
          <w:color w:val="#000000"/>
          <w:sz w:val="22"/>
          <w:szCs w:val="22"/>
        </w:rPr>
        <w:t xml:space="preserve">The University of Malta is the only university in Malta. Following the adoption of the Equal Opportunities Act, the university needed to undergo changes to offer disabled students equal treatment to other students. These included an increase in the quality of access to certain areas of campus and the establishment of an Access Disability Support Unit (ADSU). Changes in examination arrangements to cater for the requirements of disabled people when completing their exams to qualify to enter university were also issued. In addition, disabled people who wish to continue with their education and require funding may apply for financial assistance through the Commission for the Rights of Persons with Disability PEKTUR program which offers financial assistance to disabled people wishing to continue their studies related to the field of disability.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University of Malta Access Disability Support Unit</w:t>
      </w:r>
      <w:br/>
      <w:hyperlink r:id="rId69" w:history="1">
        <w:r>
          <w:rPr>
            <w:rStyle w:val="Link"/>
          </w:rPr>
          <w:t xml:space="preserve">https://www.um.edu.mt/access</w:t>
        </w:r>
      </w:hyperlink>
      <w:br/>
      <w:r>
        <w:rPr>
          <w:rFonts w:ascii="Arial" w:hAnsi="Arial" w:eastAsia="Arial" w:cs="Arial"/>
          <w:color w:val="#000000"/>
          <w:sz w:val="22"/>
          <w:szCs w:val="22"/>
        </w:rPr>
        <w:t xml:space="preserve">The University of Malta Access Arrangements</w:t>
      </w:r>
      <w:br/>
      <w:hyperlink r:id="rId70" w:history="1">
        <w:r>
          <w:rPr>
            <w:rStyle w:val="Link"/>
          </w:rPr>
          <w:t xml:space="preserve">https://www.um.edu.mt/matsec/Access</w:t>
        </w:r>
      </w:hyperlink>
      <w:br/>
      <w:r>
        <w:rPr>
          <w:rFonts w:ascii="Arial" w:hAnsi="Arial" w:eastAsia="Arial" w:cs="Arial"/>
          <w:color w:val="#000000"/>
          <w:sz w:val="22"/>
          <w:szCs w:val="22"/>
        </w:rPr>
        <w:t xml:space="preserve">Equal Opportunities (Persons with Disability) Act (Chapter 413)</w:t>
      </w:r>
      <w:br/>
      <w:hyperlink r:id="rId34" w:history="1">
        <w:r>
          <w:rPr>
            <w:rStyle w:val="Link"/>
          </w:rPr>
          <w:t xml:space="preserve">http://www.justiceservices.gov.mt/downloaddocument.aspx?app=lom&amp;itemid=8879</w:t>
        </w:r>
      </w:hyperlink>
      <w:br/>
      <w:r>
        <w:rPr>
          <w:rFonts w:ascii="Arial" w:hAnsi="Arial" w:eastAsia="Arial" w:cs="Arial"/>
          <w:color w:val="#000000"/>
          <w:sz w:val="22"/>
          <w:szCs w:val="22"/>
        </w:rPr>
        <w:t xml:space="preserve">Commission for the Rights of Persons with Disabilities – PEKTUR</w:t>
      </w:r>
      <w:br/>
      <w:hyperlink r:id="rId71" w:history="1">
        <w:r>
          <w:rPr>
            <w:rStyle w:val="Link"/>
          </w:rPr>
          <w:t xml:space="preserve">http://crpd.org.mt/pektur</w:t>
        </w:r>
      </w:hyperlink>
      <w:br/>
    </w:p>
    <w:p>
      <w:pPr>
        <w:pStyle w:val="Heading3"/>
      </w:pPr>
      <w:bookmarkStart w:id="38" w:name="_Toc38"/>
      <w:r>
        <w:t>F. Employment</w:t>
      </w:r>
      <w:bookmarkEnd w:id="38"/>
    </w:p>
    <w:p>
      <w:pPr>
        <w:pStyle w:val="Heading4"/>
      </w:pPr>
      <w:bookmarkStart w:id="39" w:name="_Toc39"/>
      <w:r>
        <w:t>F1. Non-discrimination in employment</w:t>
      </w:r>
      <w:bookmarkEnd w:id="39"/>
    </w:p>
    <w:p>
      <w:pPr/>
    </w:p>
    <w:p>
      <w:pPr>
        <w:spacing w:before="120" w:after="240"/>
      </w:pPr>
      <w:r>
        <w:rPr>
          <w:rFonts w:ascii="Arial" w:hAnsi="Arial" w:eastAsia="Arial" w:cs="Arial"/>
          <w:color w:val="#000000"/>
          <w:sz w:val="22"/>
          <w:szCs w:val="22"/>
        </w:rPr>
        <w:t xml:space="preserve">The Maltese Constitution (1964) establishes the principle that every Maltese citizen has the right to work but does not specifically refer to disabled people in this regard. However, it does assert the right of disabled citizens who cannot work to access vocational education and training. The Disabled Persons (Employment) Act (Chapter 210) was the first attempt to fulfil the principle of equality in work for disabled people. This law introduced the Disabled Persons Register and a quota of 2% disabled employees (and a minimum of one disabled employee) for companies who employ more than 20 employees. The Act also establishes the concept of reserved jobs to be allocated for disabled people. Later amendments to this legislation include fines for companies who do not abide by the regulations of this act. The money collected from the fines will go towards the Lino Spiteri Foundation – a foundation, established in May 2015, set up in order to improve the inclusion of disabled individuals into gainful employment. Later amendments to this act also allow for disabled people to receive a disability pension notwithstanding their income through gainful employment. 
</w:t>
      </w:r>
    </w:p>
    <w:p>
      <w:pPr>
        <w:spacing w:before="120" w:after="240"/>
      </w:pPr>
      <w:r>
        <w:rPr>
          <w:rFonts w:ascii="Arial" w:hAnsi="Arial" w:eastAsia="Arial" w:cs="Arial"/>
          <w:color w:val="#000000"/>
          <w:sz w:val="22"/>
          <w:szCs w:val="22"/>
        </w:rPr>
        <w:t xml:space="preserve">The conditions of the Employment (Regulation) Act (Cap 135) protect the right to compensation of persons who are injured or acquire a disease during the course of their working life, which prevents them from continuing to work. The amount of compensation they receive is adjusted according to the Social Security Act (Cap 147). 
</w:t>
      </w:r>
    </w:p>
    <w:p>
      <w:pPr>
        <w:spacing w:before="120" w:after="240"/>
      </w:pPr>
      <w:r>
        <w:rPr>
          <w:rFonts w:ascii="Arial" w:hAnsi="Arial" w:eastAsia="Arial" w:cs="Arial"/>
          <w:color w:val="#000000"/>
          <w:sz w:val="22"/>
          <w:szCs w:val="22"/>
        </w:rPr>
        <w:t xml:space="preserve">The Employment and Industrial Relations Act (Cap 452) and the Equal Opportunities Act (Cap. 413) transpose the European Employment Directive and safeguard the rights of disabled persons in employment. In 2010, the Commission for the Rights of Persons with Disability published a Policy of the Employment of Disabled People following consultations with stakeholders in the employment sector, support agencies, NGOs active in the disability sector, parents and disabled people. The policy proposed a number of recommendations, including better employment assessment services, the introduction of more incentives for employers and to disabled people seeking self-employment and the restructuring of day care facilities. It also recommends removing the concept of jobs that are reserved for disabled people and ensuring instead that all jobs are accessible for disabled people who have the necessary skills to carry them out.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Equal Opportunities Act (Persons with Disability) Act (Chapter 413)</w:t>
      </w:r>
      <w:br/>
      <w:hyperlink r:id="rId34" w:history="1">
        <w:r>
          <w:rPr>
            <w:rStyle w:val="Link"/>
          </w:rPr>
          <w:t xml:space="preserve">http://www.justiceservices.gov.mt/downloaddocument.aspx?app=lom&amp;itemid=8879</w:t>
        </w:r>
      </w:hyperlink>
      <w:br/>
      <w:r>
        <w:rPr>
          <w:rFonts w:ascii="Arial" w:hAnsi="Arial" w:eastAsia="Arial" w:cs="Arial"/>
          <w:color w:val="#000000"/>
          <w:sz w:val="22"/>
          <w:szCs w:val="22"/>
        </w:rPr>
        <w:t xml:space="preserve">The Constitution of Malta</w:t>
      </w:r>
      <w:br/>
      <w:hyperlink r:id="rId68" w:history="1">
        <w:r>
          <w:rPr>
            <w:rStyle w:val="Link"/>
          </w:rPr>
          <w:t xml:space="preserve">http://justiceservices.gov.mt/downloaddocument.aspx?app=lom&amp;itemid=8566</w:t>
        </w:r>
      </w:hyperlink>
      <w:br/>
      <w:r>
        <w:rPr>
          <w:rFonts w:ascii="Arial" w:hAnsi="Arial" w:eastAsia="Arial" w:cs="Arial"/>
          <w:color w:val="#000000"/>
          <w:sz w:val="22"/>
          <w:szCs w:val="22"/>
        </w:rPr>
        <w:t xml:space="preserve">Persons with Disability (Employment) Act (Chapter 210)</w:t>
      </w:r>
      <w:br/>
      <w:hyperlink r:id="rId72" w:history="1">
        <w:r>
          <w:rPr>
            <w:rStyle w:val="Link"/>
          </w:rPr>
          <w:t xml:space="preserve">http://www.justiceservices.gov.mt/DownloadDocument.aspx?app=lom&amp;itemid=8718&amp;l=1</w:t>
        </w:r>
      </w:hyperlink>
      <w:br/>
      <w:r>
        <w:rPr>
          <w:rFonts w:ascii="Arial" w:hAnsi="Arial" w:eastAsia="Arial" w:cs="Arial"/>
          <w:color w:val="#000000"/>
          <w:sz w:val="22"/>
          <w:szCs w:val="22"/>
        </w:rPr>
        <w:t xml:space="preserve">Conditions of Employment (Regulation) Act (Chapter 135)</w:t>
      </w:r>
      <w:br/>
      <w:hyperlink r:id="rId73" w:history="1">
        <w:r>
          <w:rPr>
            <w:rStyle w:val="Link"/>
          </w:rPr>
          <w:t xml:space="preserve">http://www.justiceservices.gov.mt/DownloadDocument.aspx?app=lom&amp;itemid=11991&amp;l=1</w:t>
        </w:r>
      </w:hyperlink>
      <w:br/>
      <w:r>
        <w:rPr>
          <w:rFonts w:ascii="Arial" w:hAnsi="Arial" w:eastAsia="Arial" w:cs="Arial"/>
          <w:color w:val="#000000"/>
          <w:sz w:val="22"/>
          <w:szCs w:val="22"/>
        </w:rPr>
        <w:t xml:space="preserve">Social Security Act (Chapter 318)</w:t>
      </w:r>
      <w:br/>
      <w:hyperlink r:id="rId74" w:history="1">
        <w:r>
          <w:rPr>
            <w:rStyle w:val="Link"/>
          </w:rPr>
          <w:t xml:space="preserve">http://justiceservices.gov.mt/DownloadDocument.aspx?app=lom&amp;itemid=8794&amp;l=1</w:t>
        </w:r>
      </w:hyperlink>
      <w:br/>
      <w:r>
        <w:rPr>
          <w:rFonts w:ascii="Arial" w:hAnsi="Arial" w:eastAsia="Arial" w:cs="Arial"/>
          <w:color w:val="#000000"/>
          <w:sz w:val="22"/>
          <w:szCs w:val="22"/>
        </w:rPr>
        <w:t xml:space="preserve">Employment and Industrial Relations Act (Chapter 452)</w:t>
      </w:r>
      <w:br/>
      <w:hyperlink r:id="rId75" w:history="1">
        <w:r>
          <w:rPr>
            <w:rStyle w:val="Link"/>
          </w:rPr>
          <w:t xml:space="preserve">http://justiceservices.gov.mt/DownloadDocument.aspx?app=lom&amp;itemid=8918&amp;l=1</w:t>
        </w:r>
      </w:hyperlink>
      <w:br/>
      <w:r>
        <w:rPr>
          <w:rFonts w:ascii="Arial" w:hAnsi="Arial" w:eastAsia="Arial" w:cs="Arial"/>
          <w:color w:val="#000000"/>
          <w:sz w:val="22"/>
          <w:szCs w:val="22"/>
        </w:rPr>
        <w:t xml:space="preserve">Lino Spiteri Foundation</w:t>
      </w:r>
      <w:br/>
      <w:hyperlink r:id="rId76" w:history="1">
        <w:r>
          <w:rPr>
            <w:rStyle w:val="Link"/>
          </w:rPr>
          <w:t xml:space="preserve">http://linospiterifoundation.org</w:t>
        </w:r>
      </w:hyperlink>
      <w:br/>
      <w:r>
        <w:rPr>
          <w:rFonts w:ascii="Arial" w:hAnsi="Arial" w:eastAsia="Arial" w:cs="Arial"/>
          <w:color w:val="#000000"/>
          <w:sz w:val="22"/>
          <w:szCs w:val="22"/>
        </w:rPr>
        <w:t xml:space="preserve">National Policy on Disabled Persons and Employment</w:t>
      </w:r>
      <w:br/>
      <w:hyperlink r:id="rId77" w:history="1">
        <w:r>
          <w:rPr>
            <w:rStyle w:val="Link"/>
          </w:rPr>
          <w:t xml:space="preserve">http://crpd.org.mt/wp-content/uploads/2016/03/002-Employment-Policy-EN.pdf</w:t>
        </w:r>
      </w:hyperlink>
      <w:br/>
    </w:p>
    <w:p>
      <w:pPr>
        <w:pStyle w:val="Heading4"/>
      </w:pPr>
      <w:bookmarkStart w:id="40" w:name="_Toc40"/>
      <w:r>
        <w:t>F2. Public employment services</w:t>
      </w:r>
      <w:bookmarkEnd w:id="40"/>
    </w:p>
    <w:p>
      <w:pPr/>
    </w:p>
    <w:p>
      <w:pPr>
        <w:spacing w:before="120" w:after="240"/>
      </w:pPr>
      <w:r>
        <w:rPr>
          <w:rFonts w:ascii="Arial" w:hAnsi="Arial" w:eastAsia="Arial" w:cs="Arial"/>
          <w:color w:val="#000000"/>
          <w:sz w:val="22"/>
          <w:szCs w:val="22"/>
        </w:rPr>
        <w:t xml:space="preserve">'Jobsplus' is the state agency offering employment and training opportunities. It is bound by law to include disabled people in its programmes and operates a Supported Employment Unit aiming to assist registered disabled unemployed people in finding work and receiving suitable training that is tailored to their individual needs and skills. In addition to providing training to disabled people, Jobsplus also works to reach out to employers for possible work opportunities and practice. The programmes that are aimed to prepare disabled people for work include the Bridging the Gap Scheme and the Employment Aid Programme, aimed at securing disabled people's employment and providing them with work exposure and on-site training. The programme titled Sheltered Employment Training aims to provide free sheltered employment training with the result of improving disabled person’s employability. Jobsplus also works with the Lino Spiteri Foundation - a social purpose foundation that was set up in 2015 following the Maltese government's initiative to encourage companies to create greater employment opportunities for vulnerable groups in Malta &amp; Gozo.</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Jobsplus Employing Persons with Disability</w:t>
      </w:r>
      <w:br/>
      <w:hyperlink r:id="rId78" w:history="1">
        <w:r>
          <w:rPr>
            <w:rStyle w:val="Link"/>
          </w:rPr>
          <w:t xml:space="preserve">https://jobsplus.gov.mt/employers-mt-MT-en-GB/employing-persons/employing-persons-disability</w:t>
        </w:r>
      </w:hyperlink>
      <w:br/>
      <w:r>
        <w:rPr>
          <w:rFonts w:ascii="Arial" w:hAnsi="Arial" w:eastAsia="Arial" w:cs="Arial"/>
          <w:color w:val="#000000"/>
          <w:sz w:val="22"/>
          <w:szCs w:val="22"/>
        </w:rPr>
        <w:t xml:space="preserve">Sheltered Employment Training</w:t>
      </w:r>
      <w:br/>
      <w:hyperlink r:id="rId79" w:history="1">
        <w:r>
          <w:rPr>
            <w:rStyle w:val="Link"/>
          </w:rPr>
          <w:t xml:space="preserve">https://jobsplus.gov.mt/training-opportunities/shelter-training</w:t>
        </w:r>
      </w:hyperlink>
      <w:br/>
      <w:r>
        <w:rPr>
          <w:rFonts w:ascii="Arial" w:hAnsi="Arial" w:eastAsia="Arial" w:cs="Arial"/>
          <w:color w:val="#000000"/>
          <w:sz w:val="22"/>
          <w:szCs w:val="22"/>
        </w:rPr>
        <w:t xml:space="preserve">Lino Spiteri Foundation</w:t>
      </w:r>
      <w:br/>
      <w:hyperlink r:id="rId76" w:history="1">
        <w:r>
          <w:rPr>
            <w:rStyle w:val="Link"/>
          </w:rPr>
          <w:t xml:space="preserve">http://linospiterifoundation.org</w:t>
        </w:r>
      </w:hyperlink>
      <w:br/>
      <w:r>
        <w:rPr>
          <w:rFonts w:ascii="Arial" w:hAnsi="Arial" w:eastAsia="Arial" w:cs="Arial"/>
          <w:color w:val="#000000"/>
          <w:sz w:val="22"/>
          <w:szCs w:val="22"/>
        </w:rPr>
        <w:t xml:space="preserve">Jobsplus Inclusive Employment Services</w:t>
      </w:r>
      <w:br/>
      <w:hyperlink r:id="rId80" w:history="1">
        <w:r>
          <w:rPr>
            <w:rStyle w:val="Link"/>
          </w:rPr>
          <w:t xml:space="preserve">https://jobsplus.gov.mt/job-seekers-mt-MT-en-GB/guidance-services/inclusive-employment-services</w:t>
        </w:r>
      </w:hyperlink>
      <w:br/>
      <w:r>
        <w:rPr>
          <w:rFonts w:ascii="Arial" w:hAnsi="Arial" w:eastAsia="Arial" w:cs="Arial"/>
          <w:color w:val="#000000"/>
          <w:sz w:val="22"/>
          <w:szCs w:val="22"/>
        </w:rPr>
        <w:t xml:space="preserve">Jobsplus Employing Persons with Disability </w:t>
      </w:r>
      <w:br/>
      <w:hyperlink r:id="rId81" w:history="1">
        <w:r>
          <w:rPr>
            <w:rStyle w:val="Link"/>
          </w:rPr>
          <w:t xml:space="preserve">https://jobsplus.gov.mt/schemes-jobseekers</w:t>
        </w:r>
      </w:hyperlink>
      <w:br/>
    </w:p>
    <w:p>
      <w:pPr>
        <w:pStyle w:val="Heading4"/>
      </w:pPr>
      <w:bookmarkStart w:id="41" w:name="_Toc41"/>
      <w:r>
        <w:t>F3. Workplace adaptations</w:t>
      </w:r>
      <w:bookmarkEnd w:id="41"/>
    </w:p>
    <w:p>
      <w:pPr/>
    </w:p>
    <w:p>
      <w:pPr>
        <w:spacing w:before="120" w:after="240"/>
      </w:pPr>
      <w:r>
        <w:rPr>
          <w:rFonts w:ascii="Arial" w:hAnsi="Arial" w:eastAsia="Arial" w:cs="Arial"/>
          <w:color w:val="#000000"/>
          <w:sz w:val="22"/>
          <w:szCs w:val="22"/>
        </w:rPr>
        <w:t xml:space="preserve">One of the recommendations made within the Commission for the Rights of Persons with Disability's Employment Policy for Disabled People was to provide financial incentives to employers to make necessary adaptations to their work places and in the acquisition of assistive equipment if necessary. The Workplace Accessibility Scheme was set up in 2010 to provide tax deductions to employers who employ disabled people and need to make modifications within their place of work. Up until the first two months of 2019, only one company applied for this scheme.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Workplace Accessibility Tax Deduction Scheme (LN 428/2010)</w:t>
      </w:r>
      <w:br/>
      <w:hyperlink r:id="rId82" w:history="1">
        <w:r>
          <w:rPr>
            <w:rStyle w:val="Link"/>
          </w:rPr>
          <w:t xml:space="preserve">http://crpd.org.mt/wp-content/uploads/2017/08/004-101203_workplacexstaxded-1.pdf</w:t>
        </w:r>
      </w:hyperlink>
      <w:br/>
      <w:r>
        <w:rPr>
          <w:rFonts w:ascii="Arial" w:hAnsi="Arial" w:eastAsia="Arial" w:cs="Arial"/>
          <w:color w:val="#000000"/>
          <w:sz w:val="22"/>
          <w:szCs w:val="22"/>
        </w:rPr>
        <w:t xml:space="preserve">National Policy on Disabled Persons and Employment</w:t>
      </w:r>
      <w:br/>
      <w:hyperlink r:id="rId77" w:history="1">
        <w:r>
          <w:rPr>
            <w:rStyle w:val="Link"/>
          </w:rPr>
          <w:t xml:space="preserve">http://crpd.org.mt/wp-content/uploads/2016/03/002-Employment-Policy-EN.pdf</w:t>
        </w:r>
      </w:hyperlink>
      <w:br/>
    </w:p>
    <w:p>
      <w:pPr>
        <w:pStyle w:val="Heading4"/>
      </w:pPr>
      <w:bookmarkStart w:id="42" w:name="_Toc42"/>
      <w:r>
        <w:t>F4. Financial incentives</w:t>
      </w:r>
      <w:bookmarkEnd w:id="42"/>
    </w:p>
    <w:p>
      <w:pPr/>
    </w:p>
    <w:p>
      <w:pPr>
        <w:spacing w:before="120" w:after="240"/>
      </w:pPr>
      <w:r>
        <w:rPr>
          <w:rFonts w:ascii="Arial" w:hAnsi="Arial" w:eastAsia="Arial" w:cs="Arial"/>
          <w:color w:val="#000000"/>
          <w:sz w:val="22"/>
          <w:szCs w:val="22"/>
        </w:rPr>
        <w:t xml:space="preserve">The government agency Jobplus, which is responsible for employment and training, also offers support to disabled people seeking employment through such schemes as the Bridging the Gap Scheme and Access to Employment scheme.  The Bridging the Gap Scheme offers disabled people an opportunity to enter the labour market through supported employment measures. Through this Scheme, disabled people can gain experience on the job, have more employment opportunities and receive a weekly wage (80% of the minimum wage). The Access to Employment Scheme provides employers with a wage subsidy of EUR 125 a week for 156 weeks for every new disabled person employed. Jobsplus supports employers who employ a person with disability by exempting them from paying the social security contribution due to be paid by the employer. Employers may also claim up to 25% of the disabled person’s wage provided it does not exceed EUR 4,500 a year for every person with a disability employed. Employers benefiting from the Access to Employment Scheme will not be eligible to benefit from the latter. 
</w:t>
      </w:r>
    </w:p>
    <w:p>
      <w:pPr>
        <w:spacing w:before="120" w:after="240"/>
      </w:pPr>
      <w:r>
        <w:rPr>
          <w:rFonts w:ascii="Arial" w:hAnsi="Arial" w:eastAsia="Arial" w:cs="Arial"/>
          <w:color w:val="#000000"/>
          <w:sz w:val="22"/>
          <w:szCs w:val="22"/>
        </w:rPr>
        <w:t xml:space="preserve">Employers who incur extra costs to adapt their buildings, acquire new equipment, modify existing equipment or give extra training to employ a disabled person, can have such costs deducted from their income tax up to a maximum of EUR 20,000. This support is offered by The Commission for the Rights of Persons with Disability.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Jobsplus</w:t>
      </w:r>
      <w:br/>
      <w:hyperlink r:id="rId83" w:history="1">
        <w:r>
          <w:rPr>
            <w:rStyle w:val="Link"/>
          </w:rPr>
          <w:t xml:space="preserve">https://jobsplus.gov.mt/</w:t>
        </w:r>
      </w:hyperlink>
      <w:br/>
      <w:r>
        <w:rPr>
          <w:rFonts w:ascii="Arial" w:hAnsi="Arial" w:eastAsia="Arial" w:cs="Arial"/>
          <w:color w:val="#000000"/>
          <w:sz w:val="22"/>
          <w:szCs w:val="22"/>
        </w:rPr>
        <w:t xml:space="preserve">Commission for the Rights of Persons with Disability </w:t>
      </w:r>
      <w:br/>
      <w:hyperlink r:id="rId84" w:history="1">
        <w:r>
          <w:rPr>
            <w:rStyle w:val="Link"/>
          </w:rPr>
          <w:t xml:space="preserve">http://crpd.org.mt/</w:t>
        </w:r>
      </w:hyperlink>
      <w:br/>
    </w:p>
    <w:p>
      <w:pPr>
        <w:pStyle w:val="Heading3"/>
      </w:pPr>
      <w:bookmarkStart w:id="43" w:name="_Toc43"/>
      <w:r>
        <w:t>G. Statistics and data collection</w:t>
      </w:r>
      <w:bookmarkEnd w:id="43"/>
    </w:p>
    <w:p>
      <w:pPr>
        <w:pStyle w:val="Heading4"/>
      </w:pPr>
      <w:bookmarkStart w:id="44" w:name="_Toc44"/>
      <w:r>
        <w:t>G1. Official research</w:t>
      </w:r>
      <w:bookmarkEnd w:id="44"/>
    </w:p>
    <w:p>
      <w:pPr/>
    </w:p>
    <w:p>
      <w:pPr>
        <w:spacing w:before="120" w:after="240"/>
      </w:pPr>
      <w:r>
        <w:rPr>
          <w:rFonts w:ascii="Arial" w:hAnsi="Arial" w:eastAsia="Arial" w:cs="Arial"/>
          <w:color w:val="#000000"/>
          <w:sz w:val="22"/>
          <w:szCs w:val="22"/>
        </w:rPr>
        <w:t xml:space="preserve">There is no official centre responsible for gathering data or statistical information about disability equality. The National Statistics Office (NSO) collects data about Malta's population and implements research devised by Eurostat.
</w:t>
      </w:r>
    </w:p>
    <w:p>
      <w:pPr>
        <w:spacing w:before="120" w:after="240"/>
      </w:pPr>
      <w:r>
        <w:rPr>
          <w:rFonts w:ascii="Arial" w:hAnsi="Arial" w:eastAsia="Arial" w:cs="Arial"/>
          <w:color w:val="#000000"/>
          <w:sz w:val="22"/>
          <w:szCs w:val="22"/>
        </w:rPr>
        <w:t xml:space="preserve">Disability related research is carried out by the Commission for the Rights of Persons with Disability and the Department of Disability Studies, Faculty for Social Wellbeing, at the University of Malta.</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National Statistics Office </w:t>
      </w:r>
      <w:br/>
      <w:hyperlink r:id="rId85" w:history="1">
        <w:r>
          <w:rPr>
            <w:rStyle w:val="Link"/>
          </w:rPr>
          <w:t xml:space="preserve">http://www.nso.gov.mt</w:t>
        </w:r>
      </w:hyperlink>
      <w:br/>
      <w:r>
        <w:rPr>
          <w:rFonts w:ascii="Arial" w:hAnsi="Arial" w:eastAsia="Arial" w:cs="Arial"/>
          <w:color w:val="#000000"/>
          <w:sz w:val="22"/>
          <w:szCs w:val="22"/>
        </w:rPr>
        <w:t xml:space="preserve">Commission for the Rights of Persons with Disability </w:t>
      </w:r>
      <w:br/>
      <w:hyperlink r:id="rId84" w:history="1">
        <w:r>
          <w:rPr>
            <w:rStyle w:val="Link"/>
          </w:rPr>
          <w:t xml:space="preserve">http://crpd.org.mt/</w:t>
        </w:r>
      </w:hyperlink>
      <w:br/>
      <w:r>
        <w:rPr>
          <w:rFonts w:ascii="Arial" w:hAnsi="Arial" w:eastAsia="Arial" w:cs="Arial"/>
          <w:color w:val="#000000"/>
          <w:sz w:val="22"/>
          <w:szCs w:val="22"/>
        </w:rPr>
        <w:t xml:space="preserve">Department of Disability Studies</w:t>
      </w:r>
      <w:br/>
      <w:hyperlink r:id="rId86" w:history="1">
        <w:r>
          <w:rPr>
            <w:rStyle w:val="Link"/>
          </w:rPr>
          <w:t xml:space="preserve">https://www.um.edu.mt/socialwellbeing/disabilitystudies</w:t>
        </w:r>
      </w:hyperlink>
      <w:br/>
    </w:p>
    <w:p>
      <w:pPr>
        <w:pStyle w:val="Heading4"/>
      </w:pPr>
      <w:bookmarkStart w:id="45" w:name="_Toc45"/>
      <w:r>
        <w:t>G2. Census data</w:t>
      </w:r>
      <w:bookmarkEnd w:id="45"/>
    </w:p>
    <w:p>
      <w:pPr/>
    </w:p>
    <w:p>
      <w:pPr>
        <w:spacing w:before="120" w:after="240"/>
      </w:pPr>
      <w:r>
        <w:rPr>
          <w:rFonts w:ascii="Arial" w:hAnsi="Arial" w:eastAsia="Arial" w:cs="Arial"/>
          <w:color w:val="#000000"/>
          <w:sz w:val="22"/>
          <w:szCs w:val="22"/>
        </w:rPr>
        <w:t xml:space="preserve">The Census in 2005 included a question asking respondents whether there were disabled people as part of the household and to identify the impairment group. The results provided a wealth of data on the living conditions of disabled people as no undertaking has been carried out before on a nationwide scale. A question on disability allowed for the analysis pertaining to demographics, living conditions, educational status, level and quality of employment, involvement in sports and access to the Internet. The data was pivotal in getting a better idea of the quality of life of disabled people and formed the basis of a report entitled 'The Quality of Life of Disabled People: Some Answers from the Census 2005', which was published in 2009. It must be noted that the 2005 Census was the first one which included reference to disability status which made it possible to get a better idea of the quality of disabled people's lives at a nationwide level. The last Census was held in 2011 and statistics on persons with disability from the 2011 Census are available from the Commission for the Rights of Persons with Disability website. A full report has not yet been made available.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Statistics on Persons with Disability from the 2011 Census</w:t>
      </w:r>
      <w:br/>
      <w:hyperlink r:id="rId87" w:history="1">
        <w:r>
          <w:rPr>
            <w:rStyle w:val="Link"/>
          </w:rPr>
          <w:t xml:space="preserve">http://crpd.org.mt/research/</w:t>
        </w:r>
      </w:hyperlink>
      <w:br/>
      <w:r>
        <w:rPr>
          <w:rFonts w:ascii="Arial" w:hAnsi="Arial" w:eastAsia="Arial" w:cs="Arial"/>
          <w:color w:val="#000000"/>
          <w:sz w:val="22"/>
          <w:szCs w:val="22"/>
        </w:rPr>
        <w:t xml:space="preserve">The Quality of Life of Disabled People: Some Answers from Census 2005</w:t>
      </w:r>
      <w:br/>
      <w:hyperlink r:id="rId87" w:history="1">
        <w:r>
          <w:rPr>
            <w:rStyle w:val="Link"/>
          </w:rPr>
          <w:t xml:space="preserve">http://crpd.org.mt/research/</w:t>
        </w:r>
      </w:hyperlink>
      <w:br/>
    </w:p>
    <w:p>
      <w:pPr>
        <w:pStyle w:val="Heading4"/>
      </w:pPr>
      <w:bookmarkStart w:id="46" w:name="_Toc46"/>
      <w:r>
        <w:t>G3. Labour Force Survey</w:t>
      </w:r>
      <w:bookmarkEnd w:id="46"/>
    </w:p>
    <w:p>
      <w:pPr/>
    </w:p>
    <w:p>
      <w:pPr>
        <w:spacing w:before="120" w:after="240"/>
      </w:pPr>
      <w:r>
        <w:rPr>
          <w:rFonts w:ascii="Arial" w:hAnsi="Arial" w:eastAsia="Arial" w:cs="Arial"/>
          <w:color w:val="#000000"/>
          <w:sz w:val="22"/>
          <w:szCs w:val="22"/>
        </w:rPr>
        <w:t xml:space="preserve">The National Statistics Office (NSO) collects data and statistics on the Maltese population and conducts a number of thematic studies exploring data related to age, gender, educational status, employment situation and economic growth, including those developed by Eurostat. Disabled people are also included in some of the studies conducted by NSO. Included in the data collected that makes reference to disabled people as part of the sample relate to the number of registered unemployed and employed disabled people (published every quarter) and reports on people having a long-standing illness or disability (the most recent published in 2003). The 2011 Labour Force Survey included an ad hoc module is to provide information on the situation of people having any health condition/disease or activity difficulty in the labour market. All the reports issued by the NSO are publicly available on their web page and can be downloaded free of charge.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National Statistics Office Malta</w:t>
      </w:r>
      <w:br/>
      <w:hyperlink r:id="rId85" w:history="1">
        <w:r>
          <w:rPr>
            <w:rStyle w:val="Link"/>
          </w:rPr>
          <w:t xml:space="preserve">http://www.nso.gov.mt</w:t>
        </w:r>
      </w:hyperlink>
      <w:br/>
    </w:p>
    <w:p>
      <w:pPr>
        <w:pStyle w:val="Heading4"/>
      </w:pPr>
      <w:bookmarkStart w:id="47" w:name="_Toc47"/>
      <w:r>
        <w:t>G4. Disability equality indicators</w:t>
      </w:r>
      <w:bookmarkEnd w:id="47"/>
    </w:p>
    <w:p>
      <w:pPr/>
    </w:p>
    <w:p>
      <w:pPr>
        <w:spacing w:before="120" w:after="240"/>
      </w:pPr>
      <w:r>
        <w:rPr>
          <w:rFonts w:ascii="Arial" w:hAnsi="Arial" w:eastAsia="Arial" w:cs="Arial"/>
          <w:color w:val="#000000"/>
          <w:sz w:val="22"/>
          <w:szCs w:val="22"/>
        </w:rPr>
        <w:t xml:space="preserve">There is no official data regarding disability equality indicators. The study that best establishes such indicators is entitled 'The Quality of Life of Disabled People: Some answers from Census 2005'. This study covers demographics, living conditions, educational status, level and quality of employment, involvement in sports and access to the Internet. For each indicator, in turn, data were analysed as to whether findings varied between disabled and non-disabled people; between disabled men and women; according to age; according to where disabled people lived; by type of impairment.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Quality of Life of Disabled People: Some Answers from Census 2005 (2009)</w:t>
      </w:r>
      <w:br/>
      <w:hyperlink r:id="rId87" w:history="1">
        <w:r>
          <w:rPr>
            <w:rStyle w:val="Link"/>
          </w:rPr>
          <w:t xml:space="preserve">http://crpd.org.mt/research/</w:t>
        </w:r>
      </w:hyperlink>
      <w:br/>
    </w:p>
    <w:p>
      <w:pPr>
        <w:pStyle w:val="Heading3"/>
      </w:pPr>
      <w:bookmarkStart w:id="48" w:name="_Toc48"/>
      <w:r>
        <w:t>H. Awareness and external action</w:t>
      </w:r>
      <w:bookmarkEnd w:id="48"/>
    </w:p>
    <w:p>
      <w:pPr>
        <w:pStyle w:val="Heading4"/>
      </w:pPr>
      <w:bookmarkStart w:id="49" w:name="_Toc49"/>
      <w:r>
        <w:t>H1. Awareness raising programs</w:t>
      </w:r>
      <w:bookmarkEnd w:id="49"/>
    </w:p>
    <w:p>
      <w:pPr/>
    </w:p>
    <w:p>
      <w:pPr>
        <w:spacing w:before="120" w:after="240"/>
      </w:pPr>
      <w:r>
        <w:rPr>
          <w:rFonts w:ascii="Arial" w:hAnsi="Arial" w:eastAsia="Arial" w:cs="Arial"/>
          <w:color w:val="#000000"/>
          <w:sz w:val="22"/>
          <w:szCs w:val="22"/>
        </w:rPr>
        <w:t xml:space="preserve">One of the roles of the Commission for the Rights of Persons with Disability as established in the Equal Opportunities Act is to raise awareness about disability issues. The Commission organises a year long awareness raising programme culminating in Disabled Persons' Week from the 3-10 December. There have been activities highlighting parallels in the experiences of disabled people and people from ethnic minorities as well as activities focusing on women with disability. All statistics published by the Commission are disaggregated by gender. Moreover, the Commission has also issued a number of educational publications aimed at creating awareness about disability issues and rights. Included in these publications there are storybooks aimed at children about the lives of young disabled characters having different impairments each, a booklet aimed at business staff explaining how people operating in business should engage with disabled people and fact sheets explaining the social model view of disability. All publications are available to download on the Commission's website.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Commission for the Rights of Persons with Disability </w:t>
      </w:r>
      <w:br/>
      <w:hyperlink r:id="rId88" w:history="1">
        <w:r>
          <w:rPr>
            <w:rStyle w:val="Link"/>
          </w:rPr>
          <w:t xml:space="preserve">http://crpd.org.mt/awareness/</w:t>
        </w:r>
      </w:hyperlink>
      <w:br/>
    </w:p>
    <w:p>
      <w:pPr>
        <w:pStyle w:val="Heading4"/>
      </w:pPr>
      <w:bookmarkStart w:id="50" w:name="_Toc50"/>
      <w:r>
        <w:t>H2. Training for teachers</w:t>
      </w:r>
      <w:bookmarkEnd w:id="50"/>
    </w:p>
    <w:p>
      <w:pPr/>
    </w:p>
    <w:p>
      <w:pPr>
        <w:spacing w:before="120" w:after="240"/>
      </w:pPr>
      <w:r>
        <w:rPr>
          <w:rFonts w:ascii="Arial" w:hAnsi="Arial" w:eastAsia="Arial" w:cs="Arial"/>
          <w:color w:val="#000000"/>
          <w:sz w:val="22"/>
          <w:szCs w:val="22"/>
        </w:rPr>
        <w:t xml:space="preserve">Up until 2018, teachers were required to attend lectures on disability issues when preparing for a Bachelor in Education (Primary or Secondary education) degree. These lectures had been delivered by the Commission for the Rights of Persons with Disability (CRPD) since 1994 and, since 2012, by the Department of Disability Studies at the University of Malta. They involved the participation of disabled people themselves. The lectures aimed to make teachers aware of the social model and the rights of disabled people. Unfortunately with the introduction of the Master in Teaching and Learning course at the Faculty of Education (which replaces the Bachelor of Education course), these lectures were removed from the course curriculum. 
</w:t>
      </w:r>
    </w:p>
    <w:p>
      <w:pPr>
        <w:spacing w:before="120" w:after="240"/>
      </w:pPr>
      <w:r>
        <w:rPr>
          <w:rFonts w:ascii="Arial" w:hAnsi="Arial" w:eastAsia="Arial" w:cs="Arial"/>
          <w:color w:val="#000000"/>
          <w:sz w:val="22"/>
          <w:szCs w:val="22"/>
        </w:rPr>
        <w:t xml:space="preserve">The Commission for the Rights of Persons with Disability is currently working with the Institute for Education to provide Disability Equality Training to teachers, the first session of which was organised in March 2019. Further calls for training will be issued in the future for those interested. Similar training was provided to the staff of one of the Resource Centres and the Institute of Tourism Studies (ITS) and further sessions are planned for ITS lecturers as well as at the Malta College of Arts, Science and Technology (MCAST).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Department of Disability Studies, Faculty for Social Wellbeing, University of Malta</w:t>
      </w:r>
      <w:br/>
      <w:hyperlink r:id="rId89" w:history="1">
        <w:r>
          <w:rPr>
            <w:rStyle w:val="Link"/>
          </w:rPr>
          <w:t xml:space="preserve">http://www.um.edu.mt/socialwellbeing/disabilitystudies</w:t>
        </w:r>
      </w:hyperlink>
      <w:br/>
      <w:r>
        <w:rPr>
          <w:rFonts w:ascii="Arial" w:hAnsi="Arial" w:eastAsia="Arial" w:cs="Arial"/>
          <w:color w:val="#000000"/>
          <w:sz w:val="22"/>
          <w:szCs w:val="22"/>
        </w:rPr>
        <w:t xml:space="preserve">Commission for the Rights of Persons with Disability </w:t>
      </w:r>
      <w:br/>
      <w:hyperlink r:id="rId90" w:history="1">
        <w:r>
          <w:rPr>
            <w:rStyle w:val="Link"/>
          </w:rPr>
          <w:t xml:space="preserve">http://crpd.org.mt/awareness/disability-issues/</w:t>
        </w:r>
      </w:hyperlink>
      <w:br/>
      <w:r>
        <w:rPr>
          <w:rFonts w:ascii="Arial" w:hAnsi="Arial" w:eastAsia="Arial" w:cs="Arial"/>
          <w:color w:val="#000000"/>
          <w:sz w:val="22"/>
          <w:szCs w:val="22"/>
        </w:rPr>
        <w:t xml:space="preserve">Institute for Education </w:t>
      </w:r>
      <w:br/>
      <w:hyperlink r:id="rId91" w:history="1">
        <w:r>
          <w:rPr>
            <w:rStyle w:val="Link"/>
          </w:rPr>
          <w:t xml:space="preserve">https://instituteforeducation.gov.mt/en/Pages/default.aspx</w:t>
        </w:r>
      </w:hyperlink>
      <w:br/>
      <w:r>
        <w:rPr>
          <w:rFonts w:ascii="Arial" w:hAnsi="Arial" w:eastAsia="Arial" w:cs="Arial"/>
          <w:color w:val="#000000"/>
          <w:sz w:val="22"/>
          <w:szCs w:val="22"/>
        </w:rPr>
        <w:t xml:space="preserve">Resource Centres</w:t>
      </w:r>
      <w:br/>
      <w:hyperlink r:id="rId63" w:history="1">
        <w:r>
          <w:rPr>
            <w:rStyle w:val="Link"/>
          </w:rPr>
          <w:t xml:space="preserve">https://education.gov.mt/en/education/student-services/Pages/Special_Education/Resource%20Centres/Resource-Centres.aspx</w:t>
        </w:r>
      </w:hyperlink>
      <w:br/>
      <w:r>
        <w:rPr>
          <w:rFonts w:ascii="Arial" w:hAnsi="Arial" w:eastAsia="Arial" w:cs="Arial"/>
          <w:color w:val="#000000"/>
          <w:sz w:val="22"/>
          <w:szCs w:val="22"/>
        </w:rPr>
        <w:t xml:space="preserve">Institute of Tourism Studies</w:t>
      </w:r>
      <w:br/>
      <w:hyperlink r:id="rId92" w:history="1">
        <w:r>
          <w:rPr>
            <w:rStyle w:val="Link"/>
          </w:rPr>
          <w:t xml:space="preserve">https://its.edu.mt</w:t>
        </w:r>
      </w:hyperlink>
      <w:br/>
      <w:r>
        <w:rPr>
          <w:rFonts w:ascii="Arial" w:hAnsi="Arial" w:eastAsia="Arial" w:cs="Arial"/>
          <w:color w:val="#000000"/>
          <w:sz w:val="22"/>
          <w:szCs w:val="22"/>
        </w:rPr>
        <w:t xml:space="preserve">Malta College of Arts, Science and Technology </w:t>
      </w:r>
      <w:br/>
      <w:hyperlink r:id="rId93" w:history="1">
        <w:r>
          <w:rPr>
            <w:rStyle w:val="Link"/>
          </w:rPr>
          <w:t xml:space="preserve">https://www.mcast.edu.mt/</w:t>
        </w:r>
      </w:hyperlink>
      <w:br/>
    </w:p>
    <w:p>
      <w:pPr>
        <w:pStyle w:val="Heading4"/>
      </w:pPr>
      <w:bookmarkStart w:id="51" w:name="_Toc51"/>
      <w:r>
        <w:t>H3. Training for lawyers</w:t>
      </w:r>
      <w:bookmarkEnd w:id="51"/>
    </w:p>
    <w:p>
      <w:pPr/>
    </w:p>
    <w:p>
      <w:pPr>
        <w:spacing w:before="120" w:after="240"/>
      </w:pPr>
      <w:r>
        <w:rPr>
          <w:rFonts w:ascii="Arial" w:hAnsi="Arial" w:eastAsia="Arial" w:cs="Arial"/>
          <w:color w:val="#000000"/>
          <w:sz w:val="22"/>
          <w:szCs w:val="22"/>
        </w:rPr>
        <w:t xml:space="preserve">The Department of Disability Studies used to offer an optional study unit for law students focusing on anti-discrimination and other legislation for disabled people, especially the UNCRPD and the Equal Opportunities Act (EOA). However, from the 2018/2019 academic year, this has been removed from the curriculum. 
</w:t>
      </w:r>
    </w:p>
    <w:p>
      <w:pPr>
        <w:spacing w:before="120" w:after="240"/>
      </w:pPr>
      <w:r>
        <w:rPr>
          <w:rFonts w:ascii="Arial" w:hAnsi="Arial" w:eastAsia="Arial" w:cs="Arial"/>
          <w:color w:val="#000000"/>
          <w:sz w:val="22"/>
          <w:szCs w:val="22"/>
        </w:rPr>
        <w:t xml:space="preserve">In February 2019, the Commission for the Rights of Persons with Disability (CRPD) had a meeting with the Dean of the Faculty of Laws to discuss the possibility of providing training/awareness raising lectures on the EOA and UNCRPD to students following law courses. It was agreed that a lecture or two will be delivered by the CRPD to students following the law course as part of a Human Rights Credit.
</w:t>
      </w:r>
    </w:p>
    <w:p>
      <w:pPr>
        <w:spacing w:before="120" w:after="240"/>
      </w:pPr>
      <w:r>
        <w:rPr>
          <w:rFonts w:ascii="Arial" w:hAnsi="Arial" w:eastAsia="Arial" w:cs="Arial"/>
          <w:color w:val="#000000"/>
          <w:sz w:val="22"/>
          <w:szCs w:val="22"/>
        </w:rPr>
        <w:t xml:space="preserve">In March 2019, the Commission for the Rights of Persons with Disability organised training to the judiciary related to Access to Justice - Article 13 of the UNCRPD.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Department of Disability Studies, Faculty for Social Wellbeing, University of Malta</w:t>
      </w:r>
      <w:br/>
      <w:hyperlink r:id="rId89" w:history="1">
        <w:r>
          <w:rPr>
            <w:rStyle w:val="Link"/>
          </w:rPr>
          <w:t xml:space="preserve">http://www.um.edu.mt/socialwellbeing/disabilitystudies</w:t>
        </w:r>
      </w:hyperlink>
      <w:br/>
      <w:r>
        <w:rPr>
          <w:rFonts w:ascii="Arial" w:hAnsi="Arial" w:eastAsia="Arial" w:cs="Arial"/>
          <w:color w:val="#000000"/>
          <w:sz w:val="22"/>
          <w:szCs w:val="22"/>
        </w:rPr>
        <w:t xml:space="preserve">Faculty of Laws, University of Malta</w:t>
      </w:r>
      <w:br/>
      <w:hyperlink r:id="rId94" w:history="1">
        <w:r>
          <w:rPr>
            <w:rStyle w:val="Link"/>
          </w:rPr>
          <w:t xml:space="preserve">https://www.um.edu.mt/laws</w:t>
        </w:r>
      </w:hyperlink>
      <w:br/>
      <w:r>
        <w:rPr>
          <w:rFonts w:ascii="Arial" w:hAnsi="Arial" w:eastAsia="Arial" w:cs="Arial"/>
          <w:color w:val="#000000"/>
          <w:sz w:val="22"/>
          <w:szCs w:val="22"/>
        </w:rPr>
        <w:t xml:space="preserve">Commission for the Rights of Persons with Disability </w:t>
      </w:r>
      <w:br/>
      <w:hyperlink r:id="rId95" w:history="1">
        <w:r>
          <w:rPr>
            <w:rStyle w:val="Link"/>
          </w:rPr>
          <w:t xml:space="preserve">http://crpd.org.mt</w:t>
        </w:r>
      </w:hyperlink>
      <w:br/>
      <w:r>
        <w:rPr>
          <w:rFonts w:ascii="Arial" w:hAnsi="Arial" w:eastAsia="Arial" w:cs="Arial"/>
          <w:color w:val="#000000"/>
          <w:sz w:val="22"/>
          <w:szCs w:val="22"/>
        </w:rPr>
        <w:t xml:space="preserve">Equal Opportunities (Persons with Disability) Act  </w:t>
      </w:r>
      <w:br/>
      <w:hyperlink r:id="rId18" w:history="1">
        <w:r>
          <w:rPr>
            <w:rStyle w:val="Link"/>
          </w:rPr>
          <w:t xml:space="preserve">http://www.justiceservices.gov.mt/downloaddocument.aspx?app=lom&amp;itemid=8879&amp;l=1</w:t>
        </w:r>
      </w:hyperlink>
      <w:br/>
    </w:p>
    <w:p>
      <w:pPr>
        <w:pStyle w:val="Heading4"/>
      </w:pPr>
      <w:bookmarkStart w:id="52" w:name="_Toc52"/>
      <w:r>
        <w:t>H4. Training for doctors</w:t>
      </w:r>
      <w:bookmarkEnd w:id="52"/>
    </w:p>
    <w:p>
      <w:pPr/>
    </w:p>
    <w:p>
      <w:pPr>
        <w:spacing w:before="120" w:after="240"/>
      </w:pPr>
      <w:r>
        <w:rPr>
          <w:rFonts w:ascii="Arial" w:hAnsi="Arial" w:eastAsia="Arial" w:cs="Arial"/>
          <w:color w:val="#000000"/>
          <w:sz w:val="22"/>
          <w:szCs w:val="22"/>
        </w:rPr>
        <w:t xml:space="preserve">Medical students are provided with one Disability Equality Training (DET) session throughout their course. Other trainee health care professionals can follow an optional Disability Issues course as part of their University course. These are conducted with the participation of disabled people and aim to make those working in the medical field and health care professionals of the importance of going beyond simply perceiving disabled people in medical terms but of treating them as whole persons. They are also made aware of the social model of disability and provided with tips on how to relate to disabled people.
</w:t>
      </w:r>
    </w:p>
    <w:p>
      <w:pPr>
        <w:spacing w:before="120" w:after="240"/>
      </w:pPr>
      <w:r>
        <w:rPr>
          <w:rFonts w:ascii="Arial" w:hAnsi="Arial" w:eastAsia="Arial" w:cs="Arial"/>
          <w:color w:val="#000000"/>
          <w:sz w:val="22"/>
          <w:szCs w:val="22"/>
        </w:rPr>
        <w:t xml:space="preserve">This training is organised and conducted by the Department of Disability Studies of the Faculty for Social Wellbeing at the University of Malta.</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Department of Disability Studies, Faculty for Social Wellbeing, University of Malta</w:t>
      </w:r>
      <w:br/>
      <w:hyperlink r:id="rId89" w:history="1">
        <w:r>
          <w:rPr>
            <w:rStyle w:val="Link"/>
          </w:rPr>
          <w:t xml:space="preserve">http://www.um.edu.mt/socialwellbeing/disabilitystudies</w:t>
        </w:r>
      </w:hyperlink>
      <w:br/>
    </w:p>
    <w:p>
      <w:pPr>
        <w:pStyle w:val="Heading4"/>
      </w:pPr>
      <w:bookmarkStart w:id="53" w:name="_Toc53"/>
      <w:r>
        <w:t>H5. Training for engineers</w:t>
      </w:r>
      <w:bookmarkEnd w:id="53"/>
    </w:p>
    <w:p>
      <w:pPr/>
    </w:p>
    <w:p>
      <w:pPr>
        <w:spacing w:before="120" w:after="240"/>
      </w:pPr>
      <w:r>
        <w:rPr>
          <w:rFonts w:ascii="Arial" w:hAnsi="Arial" w:eastAsia="Arial" w:cs="Arial"/>
          <w:color w:val="#000000"/>
          <w:sz w:val="22"/>
          <w:szCs w:val="22"/>
        </w:rPr>
        <w:t xml:space="preserve">At present, engineers and designers do not receive any Disability Equality (DET/DAT) training sessions. Architectural students have lectures in accessible design at Master's level.</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Department of Architecture and Urban Design </w:t>
      </w:r>
      <w:br/>
      <w:hyperlink r:id="rId96" w:history="1">
        <w:r>
          <w:rPr>
            <w:rStyle w:val="Link"/>
          </w:rPr>
          <w:t xml:space="preserve">https://www.um.edu.mt/ben/archdesign</w:t>
        </w:r>
      </w:hyperlink>
      <w:br/>
    </w:p>
    <w:p>
      <w:pPr>
        <w:pStyle w:val="Heading4"/>
      </w:pPr>
      <w:bookmarkStart w:id="54" w:name="_Toc54"/>
      <w:r>
        <w:t>H6. International development aid</w:t>
      </w:r>
      <w:bookmarkEnd w:id="54"/>
    </w:p>
    <w:p>
      <w:pPr/>
    </w:p>
    <w:p>
      <w:pPr>
        <w:spacing w:before="120" w:after="240"/>
      </w:pPr>
      <w:r>
        <w:rPr>
          <w:rFonts w:ascii="Arial" w:hAnsi="Arial" w:eastAsia="Arial" w:cs="Arial"/>
          <w:color w:val="#000000"/>
          <w:sz w:val="22"/>
          <w:szCs w:val="22"/>
        </w:rPr>
        <w:t xml:space="preserve">Malta does not make reference to disability mainstreaming nor specifically identify this issue in official policies or programmes of international development aid or make reference to the principles of accessibility or non-discrimination.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Official Development Assistance Policy </w:t>
      </w:r>
      <w:br/>
      <w:hyperlink r:id="rId97" w:history="1">
        <w:r>
          <w:rPr>
            <w:rStyle w:val="Link"/>
          </w:rPr>
          <w:t xml:space="preserve">https://foreignaffairs.gov.mt/en/pages/official%20development%20assistance.aspx</w:t>
        </w:r>
      </w:hyperlink>
      <w:br/>
    </w:p>
    <w:sectPr>
      <w:headerReference w:type="default" r:id="rId98"/>
      <w:footerReference w:type="default" r:id="rId99"/>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Page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Downloaded from </w:t>
    </w:r>
    <w:hyperlink r:id="rId1" w:history="1">
      <w:r>
        <w:rPr>
          <w:rStyle w:val="Link"/>
        </w:rPr>
        <w:t xml:space="preserve">www.disability-europe.net/dotcom</w:t>
      </w:r>
    </w:hyperlink>
    <w:r>
      <w:rPr/>
      <w:t xml:space="preserve"> on 2024-03-28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keepNext w:val="1"/>
      <w:keepLines w:val="1"/>
      <w:spacing w:after="320"/>
    </w:pPr>
    <w:rPr>
      <w:rFonts w:ascii="Arial" w:hAnsi="Arial" w:eastAsia="Arial" w:cs="Arial"/>
      <w:color w:val="#000000"/>
      <w:sz w:val="32"/>
      <w:szCs w:val="32"/>
      <w:b/>
    </w:rPr>
  </w:style>
  <w:style w:type="paragraph" w:styleId="Heading2">
    <w:link w:val="Heading2Char"/>
    <w:name w:val="heading 2"/>
    <w:basedOn w:val="Normal"/>
    <w:pPr>
      <w:keepNext w:val="1"/>
      <w:keepLines w:val="1"/>
    </w:pPr>
    <w:rPr>
      <w:rFonts w:ascii="Arial" w:hAnsi="Arial" w:eastAsia="Arial" w:cs="Arial"/>
      <w:color w:val="#000000"/>
      <w:sz w:val="28"/>
      <w:szCs w:val="28"/>
      <w:b/>
      <w:caps/>
    </w:rPr>
  </w:style>
  <w:style w:type="paragraph" w:styleId="Heading3">
    <w:link w:val="Heading3Char"/>
    <w:name w:val="heading 3"/>
    <w:basedOn w:val="Normal"/>
    <w:pPr>
      <w:keepNext w:val="1"/>
      <w:keepLines w:val="1"/>
      <w:spacing w:before="0" w:after="0"/>
    </w:pPr>
    <w:rPr>
      <w:rFonts w:ascii="Arial" w:hAnsi="Arial" w:eastAsia="Arial" w:cs="Arial"/>
      <w:color w:val="#000000"/>
      <w:sz w:val="24"/>
      <w:szCs w:val="24"/>
      <w:b/>
    </w:rPr>
  </w:style>
  <w:style w:type="paragraph" w:styleId="Heading4">
    <w:link w:val="Heading4Char"/>
    <w:name w:val="heading 4"/>
    <w:basedOn w:val="Normal"/>
    <w:pPr>
      <w:keepNext w:val="1"/>
      <w:keepLines w:val="1"/>
      <w:spacing w:before="0" w:after="0"/>
    </w:pPr>
    <w:rPr>
      <w:rFonts w:ascii="Arial" w:hAnsi="Arial" w:eastAsia="Arial" w:cs="Arial"/>
      <w:color w:val="#000000"/>
      <w:sz w:val="24"/>
      <w:szCs w:val="24"/>
      <w:b/>
    </w:rPr>
  </w:style>
  <w:style w:type="paragraph" w:styleId="Heading5">
    <w:link w:val="Heading5Char"/>
    <w:name w:val="heading 5"/>
    <w:basedOn w:val="Normal"/>
    <w:pPr>
      <w:keepNext w:val="1"/>
      <w:keepLines w:val="1"/>
      <w:spacing w:before="0" w:after="0"/>
    </w:pPr>
    <w:rPr>
      <w:rFonts w:ascii="Arial" w:hAnsi="Arial" w:eastAsia="Arial" w:cs="Arial"/>
      <w:color w:val="#000000"/>
      <w:sz w:val="22"/>
      <w:szCs w:val="22"/>
      <w:b/>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rpd.org.mt/un-convention/" TargetMode="External"/><Relationship Id="rId8" Type="http://schemas.openxmlformats.org/officeDocument/2006/relationships/hyperlink" Target="https://treaties.un.org/Pages/ViewDetails.aspx?src=TREATY&amp;amp;mtdsg_no=IV-15&amp;amp;chapter=4&amp;amp;lang=_en&amp;amp;clang=_en#EndDec" TargetMode="External"/><Relationship Id="rId9" Type="http://schemas.openxmlformats.org/officeDocument/2006/relationships/hyperlink" Target="https://www.gov.mt/en/Government/DOI/Press%20Releases/Pages/2007/03/30/PR0469.aspx" TargetMode="External"/><Relationship Id="rId10" Type="http://schemas.openxmlformats.org/officeDocument/2006/relationships/hyperlink" Target="http://www.justiceservices.gov.mt/DownloadDocument.aspx?app=lp&amp;amp;itemid=23032&amp;amp;l=1" TargetMode="External"/><Relationship Id="rId11" Type="http://schemas.openxmlformats.org/officeDocument/2006/relationships/hyperlink" Target="https://activeageing.gov.mt/en/Pages/Focal-Point-Malta.aspx" TargetMode="External"/><Relationship Id="rId12" Type="http://schemas.openxmlformats.org/officeDocument/2006/relationships/hyperlink" Target="http://www.crpd.org.mt" TargetMode="External"/><Relationship Id="rId13" Type="http://schemas.openxmlformats.org/officeDocument/2006/relationships/hyperlink" Target="https://tbinternet.ohchr.org/_layouts/treatybodyexternal/TBSearch.aspx?Lang=en&amp;amp;TreatyID=4&amp;amp;CountryID=108&amp;amp;DocTypeID=29" TargetMode="External"/><Relationship Id="rId14" Type="http://schemas.openxmlformats.org/officeDocument/2006/relationships/hyperlink" Target="https://tbinternet.ohchr.org/_layouts/treatybodyexternal/TBSearch.aspx?Lang=en&amp;amp;TreatyID=4&amp;amp;CountryID=108" TargetMode="External"/><Relationship Id="rId15" Type="http://schemas.openxmlformats.org/officeDocument/2006/relationships/hyperlink" Target="https://tbinternet.ohchr.org/_layouts/treatybodyexternal/TBSearch.aspx?Lang=en&amp;amp;TreatyID=4&amp;amp;CountryID=108&amp;amp;DocTypeID=14" TargetMode="External"/><Relationship Id="rId16" Type="http://schemas.openxmlformats.org/officeDocument/2006/relationships/hyperlink" Target="http://www.knpd.org/pubs/pdf/Implementation_UNCRPD%20Report%20201303.pdf" TargetMode="External"/><Relationship Id="rId17" Type="http://schemas.openxmlformats.org/officeDocument/2006/relationships/hyperlink" Target="https://tbinternet.ohchr.org/Treaties/CRPD/Shared%20Documents/MLT/INT_CRPD_ICO_MLT_30550_E.docx" TargetMode="External"/><Relationship Id="rId18" Type="http://schemas.openxmlformats.org/officeDocument/2006/relationships/hyperlink" Target="http://www.justiceservices.gov.mt/downloaddocument.aspx?app=lom&amp;amp;itemid=8879&amp;amp;l=1" TargetMode="External"/><Relationship Id="rId19" Type="http://schemas.openxmlformats.org/officeDocument/2006/relationships/hyperlink" Target="http://www.justiceservices.gov.mt/DownloadDocument.aspx?app=lom&amp;amp;itemid=8566&amp;amp;l=1" TargetMode="External"/><Relationship Id="rId20" Type="http://schemas.openxmlformats.org/officeDocument/2006/relationships/hyperlink" Target="https://parlament.mt/12th-leg/acts-12th/act-xxiv-of-2016/" TargetMode="External"/><Relationship Id="rId21" Type="http://schemas.openxmlformats.org/officeDocument/2006/relationships/hyperlink" Target="http://justiceservices.gov.mt/DownloadDocument.aspx?app=lp&amp;amp;itemid=24286&amp;amp;l=1" TargetMode="External"/><Relationship Id="rId22" Type="http://schemas.openxmlformats.org/officeDocument/2006/relationships/hyperlink" Target="http://justiceservices.gov.mt/DownloadDocument.aspx?app=lom&amp;amp;itemid=8577&amp;amp;l=1" TargetMode="External"/><Relationship Id="rId23" Type="http://schemas.openxmlformats.org/officeDocument/2006/relationships/hyperlink" Target="http://justiceservices.gov.mt/DownloadDocument.aspx?app=lom&amp;amp;itemid=8580&amp;amp;l=1" TargetMode="External"/><Relationship Id="rId24" Type="http://schemas.openxmlformats.org/officeDocument/2006/relationships/hyperlink" Target="http://justiceservices.gov.mt/DownloadDocument.aspx?app=lp&amp;amp;itemid=23429&amp;amp;l=1" TargetMode="External"/><Relationship Id="rId25" Type="http://schemas.openxmlformats.org/officeDocument/2006/relationships/hyperlink" Target="http://justiceservices.gov.mt/DownloadDocument.aspx?app=lom&amp;amp;itemid=8566" TargetMode="External"/><Relationship Id="rId26" Type="http://schemas.openxmlformats.org/officeDocument/2006/relationships/hyperlink" Target="http://justiceservices.gov.mt/DownloadDocument.aspx?app=lom&amp;amp;itemid=8879&amp;amp;l=1" TargetMode="External"/><Relationship Id="rId27" Type="http://schemas.openxmlformats.org/officeDocument/2006/relationships/hyperlink" Target="http://www.justiceservices.gov.mt/DownloadDocument.aspx?app=lp&amp;amp;itemid=26704&amp;amp;l=1" TargetMode="External"/><Relationship Id="rId28" Type="http://schemas.openxmlformats.org/officeDocument/2006/relationships/hyperlink" Target="http://activeageing.gov.mt/en/Documents/National%20Draft%20Policy.pdf" TargetMode="External"/><Relationship Id="rId29" Type="http://schemas.openxmlformats.org/officeDocument/2006/relationships/hyperlink" Target="https://activeageing.gov.mt/en/Pages/National-Policy-on-the-Rights-of-Persons-with-Disability.aspx" TargetMode="External"/><Relationship Id="rId30" Type="http://schemas.openxmlformats.org/officeDocument/2006/relationships/hyperlink" Target="https://activeageing.gov.mt/en/Documents/SOCIAL%20POLICY%20WEB.pdf" TargetMode="External"/><Relationship Id="rId31" Type="http://schemas.openxmlformats.org/officeDocument/2006/relationships/hyperlink" Target="https://www.publictransport.com.mt/accessibility" TargetMode="External"/><Relationship Id="rId32" Type="http://schemas.openxmlformats.org/officeDocument/2006/relationships/hyperlink" Target="https://www.publictransport.com.mt/concession" TargetMode="External"/><Relationship Id="rId33" Type="http://schemas.openxmlformats.org/officeDocument/2006/relationships/hyperlink" Target="http://www.gozochannel.com/" TargetMode="External"/><Relationship Id="rId34" Type="http://schemas.openxmlformats.org/officeDocument/2006/relationships/hyperlink" Target="http://www.justiceservices.gov.mt/downloaddocument.aspx?app=lom&amp;amp;itemid=8879" TargetMode="External"/><Relationship Id="rId35" Type="http://schemas.openxmlformats.org/officeDocument/2006/relationships/hyperlink" Target="https://crpd.org.mt/wp-content/uploads/2016/04/Access-for-all-2011.pdf" TargetMode="External"/><Relationship Id="rId36" Type="http://schemas.openxmlformats.org/officeDocument/2006/relationships/hyperlink" Target="https://mccaa.org.mt/Section/Content?contentId=1242" TargetMode="External"/><Relationship Id="rId37" Type="http://schemas.openxmlformats.org/officeDocument/2006/relationships/hyperlink" Target="https://parlament.mt/media/78993/05294.pdf" TargetMode="External"/><Relationship Id="rId38" Type="http://schemas.openxmlformats.org/officeDocument/2006/relationships/hyperlink" Target="http://www.fitamalta.eu/" TargetMode="External"/><Relationship Id="rId39" Type="http://schemas.openxmlformats.org/officeDocument/2006/relationships/hyperlink" Target="http://www.wipo.int/treaties/en/ShowResults.jsp?lang=en&amp;amp;treaty_id=843" TargetMode="External"/><Relationship Id="rId40" Type="http://schemas.openxmlformats.org/officeDocument/2006/relationships/hyperlink" Target="http://www.housingauthority.gov.mt" TargetMode="External"/><Relationship Id="rId41" Type="http://schemas.openxmlformats.org/officeDocument/2006/relationships/hyperlink" Target="http://crpd.org.mt/wp-content/uploads/2016/04/004-The-Economic-Dimensions-of-Independent-Supported-Living.pdf" TargetMode="External"/><Relationship Id="rId42" Type="http://schemas.openxmlformats.org/officeDocument/2006/relationships/hyperlink" Target="http://nao.gov.mt/loadfile/b1adb86a-4ab4-49ac-95cf-534dc99c741c" TargetMode="External"/><Relationship Id="rId43" Type="http://schemas.openxmlformats.org/officeDocument/2006/relationships/hyperlink" Target="http://www.justiceservices.gov.mt/DownloadDocument.aspx?app=lom&amp;amp;itemid=11962&amp;amp;l=1" TargetMode="External"/><Relationship Id="rId44" Type="http://schemas.openxmlformats.org/officeDocument/2006/relationships/hyperlink" Target="http://crpd.org.mt/wp-content/uploads/2016/04/001-indsupliv2011rpt.pdf" TargetMode="External"/><Relationship Id="rId45" Type="http://schemas.openxmlformats.org/officeDocument/2006/relationships/hyperlink" Target="http://www.sapport.gov.mt/" TargetMode="External"/><Relationship Id="rId46" Type="http://schemas.openxmlformats.org/officeDocument/2006/relationships/hyperlink" Target="http://www.dartalprovidenza.org" TargetMode="External"/><Relationship Id="rId47" Type="http://schemas.openxmlformats.org/officeDocument/2006/relationships/hyperlink" Target="http://www.activeageing.gov.mt/en/Documents/english.pdf" TargetMode="External"/><Relationship Id="rId48" Type="http://schemas.openxmlformats.org/officeDocument/2006/relationships/hyperlink" Target="https://sapport.gov.mt/en/Pages/Grant-on-Purchase-of-Specialised-Equipment.aspx" TargetMode="External"/><Relationship Id="rId49" Type="http://schemas.openxmlformats.org/officeDocument/2006/relationships/hyperlink" Target="https://www.mccff.org.mt" TargetMode="External"/><Relationship Id="rId50" Type="http://schemas.openxmlformats.org/officeDocument/2006/relationships/hyperlink" Target="https://crpd.org.mt/services/sonia-tanti-independent-living-center/" TargetMode="External"/><Relationship Id="rId51" Type="http://schemas.openxmlformats.org/officeDocument/2006/relationships/hyperlink" Target="http://www.justiceservices.gov.mt/DownloadDocument.aspx?app=lom&amp;amp;itemid=8794&amp;amp;l=1" TargetMode="External"/><Relationship Id="rId52" Type="http://schemas.openxmlformats.org/officeDocument/2006/relationships/hyperlink" Target="https://mfin.gov.mt/en/The-Budget/Documents/The_Budget_2015/Budget_Doc_2015.pdf" TargetMode="External"/><Relationship Id="rId53" Type="http://schemas.openxmlformats.org/officeDocument/2006/relationships/hyperlink" Target="https://socialsecurity.gov.mt/en/Pensions/Pages/Non-Contributory-Disability-Pension.aspx" TargetMode="External"/><Relationship Id="rId54" Type="http://schemas.openxmlformats.org/officeDocument/2006/relationships/hyperlink" Target="https://mfin.gov.mt/en/The-Budget/Pages/The-Budget-2017.aspx" TargetMode="External"/><Relationship Id="rId55" Type="http://schemas.openxmlformats.org/officeDocument/2006/relationships/hyperlink" Target="https://www.eudisabilitycard.org.mt" TargetMode="External"/><Relationship Id="rId56" Type="http://schemas.openxmlformats.org/officeDocument/2006/relationships/hyperlink" Target="https://mfin.gov.mt/en/The-Budget/Pages/The-Budget-2015.aspx" TargetMode="External"/><Relationship Id="rId57" Type="http://schemas.openxmlformats.org/officeDocument/2006/relationships/hyperlink" Target="https://mfin.gov.mt/en/The-Budget/Pages/The-Budget-2019-G5J3D1.aspx" TargetMode="External"/><Relationship Id="rId58" Type="http://schemas.openxmlformats.org/officeDocument/2006/relationships/hyperlink" Target="https://deputyprimeminister.gov.mt/en/poyc/Pages/360%C2%B0-One-Stop-Shop-Service-Concept/Introduction.aspx" TargetMode="External"/><Relationship Id="rId59" Type="http://schemas.openxmlformats.org/officeDocument/2006/relationships/hyperlink" Target="https://sapport.gov.mt/onlineforms/Pages/VehicleRoadLicenceOrTaxEN.aspx" TargetMode="External"/><Relationship Id="rId60" Type="http://schemas.openxmlformats.org/officeDocument/2006/relationships/hyperlink" Target="https://education.gov.mt/en/resources/Documents/Policy%20Documents/Special_Schools_Reform_ENG.pdf" TargetMode="External"/><Relationship Id="rId61" Type="http://schemas.openxmlformats.org/officeDocument/2006/relationships/hyperlink" Target="https://education.gov.mt/en/resources/Documents/Policy%20Documents/inclusive%20and%20special%20education%20review.pdf" TargetMode="External"/><Relationship Id="rId62" Type="http://schemas.openxmlformats.org/officeDocument/2006/relationships/hyperlink" Target="https://education.gov.mt/en/education/student-services/Pages/Inclusive_Education/Statementing-Moderating-Panel.aspx" TargetMode="External"/><Relationship Id="rId63" Type="http://schemas.openxmlformats.org/officeDocument/2006/relationships/hyperlink" Target="https://education.gov.mt/en/education/student-services/Pages/Special_Education/Resource%20Centres/Resource-Centres.aspx" TargetMode="External"/><Relationship Id="rId64" Type="http://schemas.openxmlformats.org/officeDocument/2006/relationships/hyperlink" Target="https://education.gov.mt/en/education/student-services/Pages/default.aspx" TargetMode="External"/><Relationship Id="rId65" Type="http://schemas.openxmlformats.org/officeDocument/2006/relationships/hyperlink" Target="https://jobsplus.gov.mt" TargetMode="External"/><Relationship Id="rId66" Type="http://schemas.openxmlformats.org/officeDocument/2006/relationships/hyperlink" Target="https://its.edu.mt/" TargetMode="External"/><Relationship Id="rId67" Type="http://schemas.openxmlformats.org/officeDocument/2006/relationships/hyperlink" Target="http://www.mcast.edu.mt/" TargetMode="External"/><Relationship Id="rId68" Type="http://schemas.openxmlformats.org/officeDocument/2006/relationships/hyperlink" Target="http://justiceservices.gov.mt/downloaddocument.aspx?app=lom&amp;amp;itemid=8566" TargetMode="External"/><Relationship Id="rId69" Type="http://schemas.openxmlformats.org/officeDocument/2006/relationships/hyperlink" Target="https://www.um.edu.mt/access" TargetMode="External"/><Relationship Id="rId70" Type="http://schemas.openxmlformats.org/officeDocument/2006/relationships/hyperlink" Target="https://www.um.edu.mt/matsec/Access" TargetMode="External"/><Relationship Id="rId71" Type="http://schemas.openxmlformats.org/officeDocument/2006/relationships/hyperlink" Target="http://crpd.org.mt/pektur" TargetMode="External"/><Relationship Id="rId72" Type="http://schemas.openxmlformats.org/officeDocument/2006/relationships/hyperlink" Target="http://www.justiceservices.gov.mt/DownloadDocument.aspx?app=lom&amp;amp;itemid=8718&amp;amp;l=1" TargetMode="External"/><Relationship Id="rId73" Type="http://schemas.openxmlformats.org/officeDocument/2006/relationships/hyperlink" Target="http://www.justiceservices.gov.mt/DownloadDocument.aspx?app=lom&amp;amp;itemid=11991&amp;amp;l=1" TargetMode="External"/><Relationship Id="rId74" Type="http://schemas.openxmlformats.org/officeDocument/2006/relationships/hyperlink" Target="http://justiceservices.gov.mt/DownloadDocument.aspx?app=lom&amp;amp;itemid=8794&amp;amp;l=1" TargetMode="External"/><Relationship Id="rId75" Type="http://schemas.openxmlformats.org/officeDocument/2006/relationships/hyperlink" Target="http://justiceservices.gov.mt/DownloadDocument.aspx?app=lom&amp;amp;itemid=8918&amp;amp;l=1" TargetMode="External"/><Relationship Id="rId76" Type="http://schemas.openxmlformats.org/officeDocument/2006/relationships/hyperlink" Target="http://linospiterifoundation.org" TargetMode="External"/><Relationship Id="rId77" Type="http://schemas.openxmlformats.org/officeDocument/2006/relationships/hyperlink" Target="http://crpd.org.mt/wp-content/uploads/2016/03/002-Employment-Policy-EN.pdf" TargetMode="External"/><Relationship Id="rId78" Type="http://schemas.openxmlformats.org/officeDocument/2006/relationships/hyperlink" Target="https://jobsplus.gov.mt/employers-mt-MT-en-GB/employing-persons/employing-persons-disability" TargetMode="External"/><Relationship Id="rId79" Type="http://schemas.openxmlformats.org/officeDocument/2006/relationships/hyperlink" Target="https://jobsplus.gov.mt/training-opportunities/shelter-training" TargetMode="External"/><Relationship Id="rId80" Type="http://schemas.openxmlformats.org/officeDocument/2006/relationships/hyperlink" Target="https://jobsplus.gov.mt/job-seekers-mt-MT-en-GB/guidance-services/inclusive-employment-services" TargetMode="External"/><Relationship Id="rId81" Type="http://schemas.openxmlformats.org/officeDocument/2006/relationships/hyperlink" Target="https://jobsplus.gov.mt/schemes-jobseekers" TargetMode="External"/><Relationship Id="rId82" Type="http://schemas.openxmlformats.org/officeDocument/2006/relationships/hyperlink" Target="http://crpd.org.mt/wp-content/uploads/2017/08/004-101203_workplacexstaxded-1.pdf" TargetMode="External"/><Relationship Id="rId83" Type="http://schemas.openxmlformats.org/officeDocument/2006/relationships/hyperlink" Target="https://jobsplus.gov.mt/" TargetMode="External"/><Relationship Id="rId84" Type="http://schemas.openxmlformats.org/officeDocument/2006/relationships/hyperlink" Target="http://crpd.org.mt/" TargetMode="External"/><Relationship Id="rId85" Type="http://schemas.openxmlformats.org/officeDocument/2006/relationships/hyperlink" Target="http://www.nso.gov.mt" TargetMode="External"/><Relationship Id="rId86" Type="http://schemas.openxmlformats.org/officeDocument/2006/relationships/hyperlink" Target="https://www.um.edu.mt/socialwellbeing/disabilitystudies" TargetMode="External"/><Relationship Id="rId87" Type="http://schemas.openxmlformats.org/officeDocument/2006/relationships/hyperlink" Target="http://crpd.org.mt/research/" TargetMode="External"/><Relationship Id="rId88" Type="http://schemas.openxmlformats.org/officeDocument/2006/relationships/hyperlink" Target="http://crpd.org.mt/awareness/" TargetMode="External"/><Relationship Id="rId89" Type="http://schemas.openxmlformats.org/officeDocument/2006/relationships/hyperlink" Target="http://www.um.edu.mt/socialwellbeing/disabilitystudies" TargetMode="External"/><Relationship Id="rId90" Type="http://schemas.openxmlformats.org/officeDocument/2006/relationships/hyperlink" Target="http://crpd.org.mt/awareness/disability-issues/" TargetMode="External"/><Relationship Id="rId91" Type="http://schemas.openxmlformats.org/officeDocument/2006/relationships/hyperlink" Target="https://instituteforeducation.gov.mt/en/Pages/default.aspx" TargetMode="External"/><Relationship Id="rId92" Type="http://schemas.openxmlformats.org/officeDocument/2006/relationships/hyperlink" Target="https://its.edu.mt" TargetMode="External"/><Relationship Id="rId93" Type="http://schemas.openxmlformats.org/officeDocument/2006/relationships/hyperlink" Target="https://www.mcast.edu.mt/" TargetMode="External"/><Relationship Id="rId94" Type="http://schemas.openxmlformats.org/officeDocument/2006/relationships/hyperlink" Target="https://www.um.edu.mt/laws" TargetMode="External"/><Relationship Id="rId95" Type="http://schemas.openxmlformats.org/officeDocument/2006/relationships/hyperlink" Target="http://crpd.org.mt" TargetMode="External"/><Relationship Id="rId96" Type="http://schemas.openxmlformats.org/officeDocument/2006/relationships/hyperlink" Target="https://www.um.edu.mt/ben/archdesign" TargetMode="External"/><Relationship Id="rId97" Type="http://schemas.openxmlformats.org/officeDocument/2006/relationships/hyperlink" Target="https://foreignaffairs.gov.mt/en/pages/official%20development%20assistance.aspx" TargetMode="External"/><Relationship Id="rId98" Type="http://schemas.openxmlformats.org/officeDocument/2006/relationships/header" Target="header1.xml"/><Relationship Id="rId9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disability-europe.net/d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ANED</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ANED</dc:creator>
  <dc:title>DOTCOM</dc:title>
  <dc:description/>
  <dc:subject/>
  <cp:keywords/>
  <cp:category/>
  <cp:lastModifiedBy/>
  <dcterms:created xsi:type="dcterms:W3CDTF">2024-03-28T13:49:02+01:00</dcterms:created>
  <dcterms:modified xsi:type="dcterms:W3CDTF">2024-03-28T13:49:02+01:00</dcterms:modified>
</cp:coreProperties>
</file>

<file path=docProps/custom.xml><?xml version="1.0" encoding="utf-8"?>
<Properties xmlns="http://schemas.openxmlformats.org/officeDocument/2006/custom-properties" xmlns:vt="http://schemas.openxmlformats.org/officeDocument/2006/docPropsVTypes"/>
</file>